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14301-2022 i Sollefteå kommun</w:t>
      </w:r>
    </w:p>
    <w:p>
      <w:r>
        <w:t>Detta dokument behandlar höga naturvärden i avverkningsanmälan A 14301-2022 i Sollefteå kommun. Denna avverkningsanmälan inkom 2022-04-01 och omfattar 2,4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arter.</w:t>
      </w:r>
    </w:p>
    <w:p>
      <w:pPr>
        <w:pStyle w:val="Heading1"/>
      </w:pPr>
      <w:r>
        <w:t>Naturvårdsarter</w:t>
      </w:r>
    </w:p>
    <w:p>
      <w:r>
        <w:t>I avverkningsanmälan har följande 7 naturvårdsarter hittats: dvärgbägarlav (NT), lunglav (NT), tretåig hackspett (NT, §4), vedskivlav (NT), vedtrappmossa (NT), luddlav (S) och stuplav (S). Av dessa är 5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225221"/>
            <wp:docPr id="1" name="Picture 1"/>
            <wp:cNvGraphicFramePr>
              <a:graphicFrameLocks noChangeAspect="1"/>
            </wp:cNvGraphicFramePr>
            <a:graphic>
              <a:graphicData uri="http://schemas.openxmlformats.org/drawingml/2006/picture">
                <pic:pic>
                  <pic:nvPicPr>
                    <pic:cNvPr id="0" name="A 14301-2022 karta.png"/>
                    <pic:cNvPicPr/>
                  </pic:nvPicPr>
                  <pic:blipFill>
                    <a:blip r:embed="rId16"/>
                    <a:stretch>
                      <a:fillRect/>
                    </a:stretch>
                  </pic:blipFill>
                  <pic:spPr>
                    <a:xfrm>
                      <a:off x="0" y="0"/>
                      <a:ext cx="5486400" cy="5225221"/>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7056172, E 579514 i SWEREF 99 TM.</w:t>
      </w:r>
    </w:p>
    <w:p>
      <w:pPr>
        <w:pStyle w:val="Heading1"/>
      </w:pPr>
      <w:r>
        <w:t>Fridlysta arter</w:t>
      </w:r>
    </w:p>
    <w:p>
      <w:r>
        <w:t>Följande fridlysta arter har sina livsmiljöer och växtplatser i den avverkningsanmälda skogen: tretåig hackspett (NT,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(Skogsstyrelsen, 2016).</w:t>
      </w:r>
    </w:p>
    <w:p>
      <w:r>
        <w:t>I BILAGA 1 finns mer detaljerad information om ekologi samt krav på livsmiljö hos fridlysta arter.</w:t>
      </w:r>
    </w:p>
    <w:p>
      <w:r>
        <w:br w:type="page"/>
      </w:r>
    </w:p>
    <w:p>
      <w:pPr>
        <w:pStyle w:val="Title"/>
      </w:pPr>
      <w:r>
        <w:t>BILAGA 1 - Fridlysta arter</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 xml:space="preserve">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w:t>
      </w:r>
    </w:p>
    <w:p>
      <w:r>
        <w:t>Förutom fridlysning enligt §4 Artskyddsförordningen är tretåig hackspett även förtecknad i EU:s fågeldirektiv bilaga 1. Den ingår också i Natura 2000 och är förtecknad i Bernkonventionen bilaga II (strikt skyddade djurarter).</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 xml:space="preserve">Vägledning för hänsyn till fåglar – Tretåig hackspett. </w:t>
      </w:r>
      <w:r>
        <w:t>www.skogsstyrelsen.se</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2024-06-30</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