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57942-2021 i Sollefteå kommun</w:t>
      </w:r>
    </w:p>
    <w:p>
      <w:r>
        <w:t>Denna tillsynsbegäran behandlar höga naturvärden i avverkningsanmälan A 57942-2021 i Sollefteå kommun som inkom 2021-10-18 och omfattar 14,2 ha.</w:t>
      </w:r>
    </w:p>
    <w:p>
      <w:pPr>
        <w:pStyle w:val="Caption"/>
      </w:pPr>
      <w:r>
        <w:drawing>
          <wp:inline xmlns:a="http://schemas.openxmlformats.org/drawingml/2006/main" xmlns:pic="http://schemas.openxmlformats.org/drawingml/2006/picture">
            <wp:extent cx="5486400" cy="5712643"/>
            <wp:docPr id="1" name="Picture 1"/>
            <wp:cNvGraphicFramePr>
              <a:graphicFrameLocks noChangeAspect="1"/>
            </wp:cNvGraphicFramePr>
            <a:graphic>
              <a:graphicData uri="http://schemas.openxmlformats.org/drawingml/2006/picture">
                <pic:pic>
                  <pic:nvPicPr>
                    <pic:cNvPr id="0" name="A 57942-2021 karta.png"/>
                    <pic:cNvPicPr/>
                  </pic:nvPicPr>
                  <pic:blipFill>
                    <a:blip r:embed="rId16"/>
                    <a:stretch>
                      <a:fillRect/>
                    </a:stretch>
                  </pic:blipFill>
                  <pic:spPr>
                    <a:xfrm>
                      <a:off x="0" y="0"/>
                      <a:ext cx="5486400" cy="5712643"/>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7062840, E 609177 i SWEREF 99 TM.</w:t>
      </w:r>
    </w:p>
    <w:p>
      <w:r>
        <w:t>I och inom 25 meter från avverkningsanmälan finns fynd av 25 naturvårdsarter, varav 16 är rödlistade, 8 är fridlysta, 19 är typiska (T) och 7 är signalarter (S): blackticka (VU), doftticka (VU, T, §8), garnlav (VU, T), knärot (VU, T, §8), ulltickeporing (VU), kolflarnlav (NT, T), lunglav (NT, T), rosenticka (NT, T), skogshare (NT), skrovellav (NT, T), tallticka (NT, T), talltita (NT, §4), tretåig hackspett (NT, T, §4), ullticka (NT, T), vedflikmossa (NT), vedtrappmossa (NT, T), luddlav (S, T), plattlummer (S, T, §9), spindelblomster (S, T, §8), stuplav (S, T), trådticka (S, T), vedticka (S, T), ögonpyrola (S, T), spillkråka (T, §4)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Blackticka (VU)</w:t>
      </w:r>
      <w:r>
        <w:t>, rödlistad som sårbar, är en exklusiv svamp som signalerar fuktiga granskogar med mycket höga naturvärden. Den har klassificerats som en “urskogsindikator” och påträffas nästan enbart i urskogsartade barrnaturskogar med långvarig kontinuitet av grova lågor i olika nedbrytningsstadier. Skogsskötselåtgärder på eller i omedelbar närhet av lokalerna utgör ett hot och på lång sikt innebär fragmenteringen av skogslandskapet att artens förekomster isoleras vilket i sig utgör ett hot mot artens överlevnad. Fler skogar med blackticka måste skyddas (Nitare &amp; Skogsstyrelsen, 2019; SLU Artdatabanken, 2024).</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och är typisk art för </w:t>
      </w:r>
      <w:r>
        <w:rPr>
          <w:i/>
        </w:rPr>
        <w:t>9010 Taiga</w:t>
      </w:r>
      <w:r>
        <w:t xml:space="preserve"> och</w:t>
      </w:r>
      <w:r>
        <w:rPr>
          <w:i/>
        </w:rPr>
        <w:t xml:space="preserve"> 9050 Näringsrik granskog </w:t>
      </w:r>
      <w:r>
        <w:t>(IUCN Redlist, 2024; Nitare &amp; Skogsstyrelsen, 2019; SLU Artdatabanken, 2024).</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82 fyndplatser för knärot registrerade på Artportalen. Figur 2 visar gränserna för buffertzoner på 50 m, som behöver lämnas kring fyndplatserna för att knärotslokalerna inte ska försvinna vid en avverkning. Av det avverkningsanmälda området överlappar 12.43 ha med buffertzonerna och får av detta skäl inte avverkas.</w:t>
      </w:r>
    </w:p>
    <w:p>
      <w:pPr>
        <w:pStyle w:val="Caption"/>
      </w:pPr>
      <w:r>
        <w:drawing>
          <wp:inline xmlns:a="http://schemas.openxmlformats.org/drawingml/2006/main" xmlns:pic="http://schemas.openxmlformats.org/drawingml/2006/picture">
            <wp:extent cx="5486400" cy="5229991"/>
            <wp:docPr id="2" name="Picture 2"/>
            <wp:cNvGraphicFramePr>
              <a:graphicFrameLocks noChangeAspect="1"/>
            </wp:cNvGraphicFramePr>
            <a:graphic>
              <a:graphicData uri="http://schemas.openxmlformats.org/drawingml/2006/picture">
                <pic:pic>
                  <pic:nvPicPr>
                    <pic:cNvPr id="0" name="A 57942-2021 karta knärot.png"/>
                    <pic:cNvPicPr/>
                  </pic:nvPicPr>
                  <pic:blipFill>
                    <a:blip r:embed="rId17"/>
                    <a:stretch>
                      <a:fillRect/>
                    </a:stretch>
                  </pic:blipFill>
                  <pic:spPr>
                    <a:xfrm>
                      <a:off x="0" y="0"/>
                      <a:ext cx="5486400" cy="5229991"/>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7062840, E 609177 i SWEREF 99 TM.</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Vedflikmossa (NT) </w:t>
      </w:r>
      <w:r>
        <w:t>är strikt knuten till död ved i främst Norrlands barrskogar. Fanns tidigare även i södra Sveriges skogar men är borta där. Eftersom arten huvudsakligen är hänvisad till skog där träd fått växa kontinuerligt under flera hundra år (kontinuitetsskog), inte klarar av en kalhyggesfas och har svårt att sprida sig över stora avstånd, bedöms populationen fortsätta att minska på grund av dagens avverkningstakt av kontinuitetsskog. För att hejda populationsminskningen av denna art måste kalavverkning i de barrskogar som tidigare aldrig kalhuggits (kontinuitetsskog) upphöra eller begränsas kraftigt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doftticka (VU, T, §8), garnlav (VU, T), knärot (VU, T, §8), kolflarnlav (NT, T), lunglav (NT, T), rosenticka (NT, T), skrovellav (NT, T), tallticka (NT, T), tretåig hackspett (NT, T, §4), ullticka (NT, T), vedtrappmossa (NT, T), luddlav (S, T), plattlummer (S, T, §9), spindelblomster (S, T, §8), stuplav (S, T), trådticka (S, T), vedticka (S, T), ögonpyrola (S, T)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2026).</w:t>
      </w:r>
    </w:p>
    <w:p>
      <w:r>
        <w:t xml:space="preserve">Ulltickeporingen har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(SLU Artdatabanken, 2026; Miettinen &amp; Niemelä, 2018).</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2026.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