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lappticka (VU), ulltickeporing (VU), gammelgransskål (NT), garnlav (NT), granticka (NT), rosenticka (NT), talltita (NT, §4), tretåig hackspett (NT, §4), ullticka (NT), bollvitmossa (S), fjällig taggsvamp s.str. (S) och spindelblomster (S,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50329"/>
            <wp:docPr id="2" name="Picture 2"/>
            <wp:cNvGraphicFramePr>
              <a:graphicFrameLocks noChangeAspect="1"/>
            </wp:cNvGraphicFramePr>
            <a:graphic>
              <a:graphicData uri="http://schemas.openxmlformats.org/drawingml/2006/picture">
                <pic:pic>
                  <pic:nvPicPr>
                    <pic:cNvPr id="0" name="A 44372-2024 karta knärot.png"/>
                    <pic:cNvPicPr/>
                  </pic:nvPicPr>
                  <pic:blipFill>
                    <a:blip r:embed="rId17"/>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7053272, E 578523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