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23629-2025 i Sollefteå kommun</w:t>
      </w:r>
    </w:p>
    <w:p>
      <w:r>
        <w:t>Detta dokument behandlar höga naturvärden i avverkningsanmälan A 23629-2025 i Sollefteå kommun. Denna avverkningsanmälan inkom 2025-05-15 16:15:38 och omfattar 3,7 ha.</w:t>
      </w:r>
    </w:p>
    <w:p>
      <w:r>
        <w:t>Nedan presenteras fynd av naturvårdsarter och fridlysta arter som gjorts i det avverkningsanmälda området, samt relevanta utdrag ur standarderna för FSC, Chain of Custody, Controlled Wood och PEFC. I BILAGA 1 finns artfakta om fridlysta och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16 naturvårdsarter hittats: gräddporing (VU), knärot (VU, §8), rynkskinn (VU), garnlav (NT), järpe (NT, §4), kolflarnlav (NT), lunglav (NT), rosenticka (NT), spillkråka (NT, §4), tretåig hackspett (NT, §4), ullticka (NT), vedskivlav (NT), dropptaggsvamp (S), luddlav (S), stuplav (S) och vedticka (S). Av dessa är 12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633764"/>
            <wp:docPr id="1" name="Picture 1"/>
            <wp:cNvGraphicFramePr>
              <a:graphicFrameLocks noChangeAspect="1"/>
            </wp:cNvGraphicFramePr>
            <a:graphic>
              <a:graphicData uri="http://schemas.openxmlformats.org/drawingml/2006/picture">
                <pic:pic>
                  <pic:nvPicPr>
                    <pic:cNvPr id="0" name="A 23629-2025 karta.png"/>
                    <pic:cNvPicPr/>
                  </pic:nvPicPr>
                  <pic:blipFill>
                    <a:blip r:embed="rId16"/>
                    <a:stretch>
                      <a:fillRect/>
                    </a:stretch>
                  </pic:blipFill>
                  <pic:spPr>
                    <a:xfrm>
                      <a:off x="0" y="0"/>
                      <a:ext cx="5486400" cy="463376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7084080, E 578036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Gräddporing (VU)</w:t>
      </w:r>
      <w:r>
        <w:t xml:space="preserve"> växer nästan enbart i urskogsartad barrskog på gamla, kraftigt murkna, grova och mossbelupna tallågor i något fuktiga och skuggiga lägen. Arten är placerad högst upp i Skogsstyrelsens värdepyramid för bedömning av skog med höga naturvärden och indikerar gamla och relativt orörda tallnaturskogar med höga naturvärden där det under låg tid kontinuerligt funnits inslag av grova tallågor. För att på sikt hejda artens vikande trend behöver merparten av gräddporingens nu kända växtplatser undantas från skogsbruk (SLU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(SLU Artdatabanken, 2024).</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Det finns ett antal sällsynta lavparasiter som växer på lunglav: lunglavsknapp (VU), skrovelmössing (DD), lunglavshårprick (DD), </w:t>
      </w:r>
      <w:r>
        <w:rPr>
          <w:i/>
        </w:rPr>
        <w:t>Calycina alstrupii</w:t>
      </w:r>
      <w:r>
        <w:t xml:space="preserve"> (NA) och </w:t>
      </w:r>
      <w:r>
        <w:rPr>
          <w:i/>
        </w:rPr>
        <w:t>Chalara lobariae</w:t>
      </w:r>
      <w:r>
        <w:t xml:space="preserve"> (NA) (SLU Artdatabanken, 2025; SLU Artdatabanken, 2024; Nitare &amp; Skogsstyrelsen, 2019).</w:t>
      </w:r>
    </w:p>
    <w:p>
      <w:r>
        <w:rPr>
          <w:b/>
        </w:rPr>
        <w:t>Rosenticka (NT)</w:t>
      </w:r>
      <w:r>
        <w:t>,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(Nitare &amp; Skogsstyrelsen, 2019; SLU Artdatabanken, 2024).</w:t>
      </w:r>
    </w:p>
    <w:p>
      <w:r>
        <w:rPr>
          <w:b/>
        </w:rPr>
        <w:t>Rynkskinn (VU)</w:t>
      </w:r>
      <w:r>
        <w:t>, rödlistad som sårbar,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(Nitare &amp; Skogsstyrelsen, 2019; SLU Artdatabanken, 2024).</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(SLU Artdatabanken, 2024;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(SLU Artdatabanken, 2024).</w:t>
      </w:r>
    </w:p>
    <w:p>
      <w:pPr>
        <w:pStyle w:val="Heading1"/>
      </w:pPr>
      <w:r>
        <w:t>Fridlysta arter</w:t>
      </w:r>
    </w:p>
    <w:p>
      <w:r>
        <w:t>Följande fridlysta arter har sina livsmiljöer och växtplatser i den avverkningsanmälda skogen: knärot (VU, §8), järpe (NT, §4), spillkråka (NT, §4) och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Järpe (NT, §4)</w:t>
      </w:r>
      <w:r>
        <w:t>, rödlistad som nära hotad och prioriterad art i Skogsvårdslagen har häckningsrevir i avverkningsanmälan. Arten har minskat med 25 (10–40) % under de senaste 12 åren och är mycket stationär inom sitt revir som är minst 25 hektar stort. Dess livsmiljöer utgörs av tät barrskog med inblandning av lövträd och en väl utvecklad flerskiktad struktur med bärris och yngre eller undertryckta, täta granar i ett lägre skikt, ofta utmed bäckar och åar inne i den skyddande granskogen. Järpen överlever inte om dess livsmiljö kalavverkas och är även känslig för röjning, gallring och avverkning där unga granar och lövträd inte sparas i tillräcklig omfattning (SLU Artdatabanken, 2022).</w:t>
      </w:r>
    </w:p>
    <w:p>
      <w:r>
        <w:rPr>
          <w:b/>
        </w:rPr>
        <w:t>Knärot (VU, §8)</w:t>
      </w:r>
      <w:r>
        <w:t xml:space="preserve"> är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13 fyndplatser för knärot registrerade på Artportalen. Figur 2 visar gränserna för buffertzoner på 50 m, som behöver lämnas kring fyndplatserna för att knärotslokalerna inte ska försvinna vid en avverkning. Av det avverkningsanmälda området överlappar 2.92 ha med buffertzonerna och får av detta skäl inte avverkas.</w:t>
      </w:r>
    </w:p>
    <w:p>
      <w:pPr>
        <w:pStyle w:val="Caption"/>
      </w:pPr>
      <w:r>
        <w:drawing>
          <wp:inline xmlns:a="http://schemas.openxmlformats.org/drawingml/2006/main" xmlns:pic="http://schemas.openxmlformats.org/drawingml/2006/picture">
            <wp:extent cx="5486400" cy="5696389"/>
            <wp:docPr id="2" name="Picture 2"/>
            <wp:cNvGraphicFramePr>
              <a:graphicFrameLocks noChangeAspect="1"/>
            </wp:cNvGraphicFramePr>
            <a:graphic>
              <a:graphicData uri="http://schemas.openxmlformats.org/drawingml/2006/picture">
                <pic:pic>
                  <pic:nvPicPr>
                    <pic:cNvPr id="0" name="A 23629-2025 karta knärot.png"/>
                    <pic:cNvPicPr/>
                  </pic:nvPicPr>
                  <pic:blipFill>
                    <a:blip r:embed="rId17"/>
                    <a:stretch>
                      <a:fillRect/>
                    </a:stretch>
                  </pic:blipFill>
                  <pic:spPr>
                    <a:xfrm>
                      <a:off x="0" y="0"/>
                      <a:ext cx="5486400" cy="5696389"/>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7084080, E 578036 i SWEREF 99 TM.</w:t>
      </w:r>
    </w:p>
    <w:p>
      <w:pPr>
        <w:pStyle w:val="Caption"/>
      </w:pP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16 naturvårdsarter varav 12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Järpe – ekologi samt krav på livsmiljön</w:t>
      </w:r>
    </w:p>
    <w:p>
      <w:r>
        <w:t>Järpe är rödlistad som nära hotad (NT), fridlyst enligt 4§ Artskyddsförordningen och prioriterad art i Skogsvårdslagen. Järpen, som minskat med 25 (10–40) % under de senaste 12 åren, har sina livsmiljöer i tät barrskog med inblandning av lövträd och en väl utvecklad flerskiktad struktur med bärris och yngre eller undertryckta, täta granar i ett lägre skikt, ofta utmed bäckar och åar inne i den skyddande granskogen.</w:t>
      </w:r>
    </w:p>
    <w:p>
      <w:r>
        <w:t>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(SLU Artdatabanken, 2022).</w:t>
      </w:r>
    </w:p>
    <w:p>
      <w:pPr>
        <w:pStyle w:val="Heading2"/>
      </w:pPr>
      <w:r>
        <w:t>Referenser – järpe</w:t>
      </w:r>
    </w:p>
    <w:p>
      <w:r>
        <w:t xml:space="preserve">SLU Artdatabanken, 2022. </w:t>
      </w:r>
      <w:r>
        <w:rPr>
          <w:i/>
        </w:rPr>
        <w:t xml:space="preserve">Artfaktablad. Naturvård – artfakta. </w:t>
      </w:r>
      <w:r>
        <w:t>SLU Artdatabanken, Uppsala</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ett antal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Nyligen har ytterligare två lavparasiter påträffats i Sverige som växer på lunglav: </w:t>
      </w:r>
      <w:r>
        <w:rPr>
          <w:i/>
        </w:rPr>
        <w:t>Calycina alstrupii</w:t>
      </w:r>
      <w:r>
        <w:t xml:space="preserve"> (NA) och </w:t>
      </w:r>
      <w:r>
        <w:rPr>
          <w:i/>
        </w:rPr>
        <w:t>Chalara lobariae</w:t>
      </w:r>
      <w:r>
        <w:t xml:space="preserve"> (NA) (SLU Artdatabanken, 2025;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p>
      <w:r>
        <w:t xml:space="preserve">SLU Artdatabanken, 2025. </w:t>
      </w:r>
      <w:r>
        <w:rPr>
          <w:i/>
        </w:rPr>
        <w:t xml:space="preserve">Över 20 nya lavparasiter för Sverige. </w:t>
      </w:r>
      <w:r>
        <w:t>https://www.slu.se/artdatabanken/arter-och-natur/artiklar/over-20-nya-lavparasiter-for-sverige/</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2025-11-27</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