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och inom 18 meter från avverkningsanmälan finns fynd av 16 naturvårdsarter, varav 11 är rödlistade, 6 är fridlysta, 13 är typiska (T) och 2 är signalarter (S): garnlav (VU, T), knärot (VU, T, §8), dvärgbägarlav (NT, T), kolflarnlav (NT, T), koralltaggsvamp (NT, T), mörk kolflarnlav (NT), talltagel (NT, T), tallticka (NT, T), talltita (NT, §4), tretåig hackspett (NT, T, §4), vedskivlav (NT, T), nästlav (S, T), skinnlav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