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29232-2025 i Sollefteå kommun</w:t>
      </w:r>
    </w:p>
    <w:p>
      <w:r>
        <w:t>Denna tillsynsbegäran behandlar höga naturvärden i avverkningsanmälan A 29232-2025 i Sollefteå kommun som inkom 2025-06-16 och omfattar 6,5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29232-2025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6979596, E 607724 i SWEREF 99 TM.</w:t>
      </w:r>
    </w:p>
    <w:p>
      <w:r>
        <w:t>I och inom 2 meter från avverkningsanmälan finns fynd av 18 naturvårdsarter, varav 12 är rödlistade, 5 är fridlysta, 14 är typiska (T) och 4 är signalarter (S): garnlav (VU, T), gammelgransskål (NT, T), lavskrika (NT, T, §4), luddfingersvamp (NT), lunglav (NT, T), rosenticka (NT, T), rynkskinn (NT, T), talltita (NT, §4), tretåig hackspett (NT, T, §4), ullticka (NT, T), vedskivlav (NT, T), vitgrynig nållav (NT), bårdlav (S, T), luddlav (S, T), stuplav (S, T), vedticka (S, T), järpe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lavskrika (NT, T, §4), lunglav (NT, T), rosenticka (NT, T), rynkskinn (NT, T), tretåig hackspett (NT, T, §4), ullticka (NT, T), vedskivlav (NT, T), bårdlav (S, T), luddlav (S, T), stuplav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