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2365-2023 i Sollefteå kommun</w:t>
      </w:r>
    </w:p>
    <w:p>
      <w:r>
        <w:t>Detta dokument behandlar höga naturvärden i avverkningsanmälan A 2365-2023 i Sollefteå kommun. Denna avverkningsanmälan inkom 2023-01-16 och omfattar 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karelsk barkfluga (EN), större barkplattbagge (EN, §4a), knärot (VU, §8), lappticka (VU), rynkskinn (VU), gammelgransskål (NT), garnlav (NT), granticka (NT), harticka (NT), kolflarnlav (NT), lunglav (NT), rosenticka (NT), spillkråka (NT, §4), tallticka (NT), talltita (NT, §4), tretåig hackspett (NT, §4), ullticka (NT), vedskivlav (NT), vedtrappmossa (NT), bårdlav (S), korallblylav (S), lappranunkel (S, §7), luddlav (S), rävticka (S), stuplav (S), vanlig flatbagge (S) och revlummer (§9).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365-2023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7030604, E 602763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Karelsk barkfluga (EN)</w:t>
      </w:r>
      <w:r>
        <w:t xml:space="preserve"> är en starkt hotad art vars larver utvecklas under blöt bark på grova asplågor. Karelsk barkfluga omfattas ett åtgärdsprogram för hotade arter är starkt beroende av lokal kontinuitet i tillgången på gamla liggande aspar. Slutavverkningar är det största hotet, vilket sannolikt drabbat flera äldre men oupptäckta förekomster. Uthuggning av gamla aspar och bortskaffande av kullfallna träd utgör också ett hot (SLU Artdatabanken, 2024; Wikars &amp; Hedenås, 2010).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större barkplattbagge (EN, §4a), knärot (VU, §8), spillkråka (NT, §4), talltita (NT, §4), tretåig hackspett (NT, §4), lappranunkel (S,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485815"/>
            <wp:docPr id="2" name="Picture 2"/>
            <wp:cNvGraphicFramePr>
              <a:graphicFrameLocks noChangeAspect="1"/>
            </wp:cNvGraphicFramePr>
            <a:graphic>
              <a:graphicData uri="http://schemas.openxmlformats.org/drawingml/2006/picture">
                <pic:pic>
                  <pic:nvPicPr>
                    <pic:cNvPr id="0" name="A 2365-2023 karta knärot.png"/>
                    <pic:cNvPicPr/>
                  </pic:nvPicPr>
                  <pic:blipFill>
                    <a:blip r:embed="rId17"/>
                    <a:stretch>
                      <a:fillRect/>
                    </a:stretch>
                  </pic:blipFill>
                  <pic:spPr>
                    <a:xfrm>
                      <a:off x="0" y="0"/>
                      <a:ext cx="5486400" cy="44858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7030604, E 602763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Större barkplattbagge (EN, §4a)</w:t>
      </w:r>
      <w: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Större barkplattbagge – ekologi samt krav på livsmiljön</w:t>
      </w:r>
    </w:p>
    <w:p>
      <w: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w:t>
      </w:r>
    </w:p>
    <w:p>
      <w:r>
        <w:t>Antalet lokalområden i landet skattas till 40 (30-60). Förekomstarean (AOO) skattas till 160 (120-240)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r>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r>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r>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pPr>
        <w:pStyle w:val="Heading2"/>
      </w:pPr>
      <w:r>
        <w:t>Referenser – större barkplattbagge</w:t>
      </w:r>
    </w:p>
    <w:p>
      <w:r>
        <w:t xml:space="preserve">Naturvårdsverket, 2019. </w:t>
      </w:r>
      <w:r>
        <w:rPr>
          <w:i/>
        </w:rPr>
        <w:t xml:space="preserve">Uppdaterad åtgärdstabell 2019–2028 för Åtgärdsprogram för större barkplattbagge Pytho kolwensis. </w:t>
      </w:r>
      <w:r>
        <w:t>Naturvårdsverket</w:t>
      </w:r>
    </w:p>
    <w:p>
      <w:r>
        <w:t xml:space="preserve">Pettersson, R.B. (2014). </w:t>
      </w:r>
      <w:r>
        <w:rPr>
          <w:i/>
        </w:rPr>
        <w:t>Åtgärdsprogram för större barkplattbagge, 2014–2018 (Pytho kolwensis)</w:t>
      </w:r>
      <w:r>
        <w:t xml:space="preserve"> (Rapport 6604). Bromma: Naturvårdsverket. https://www.naturvardsverket.se/978-91-620-6604-8</w:t>
      </w:r>
    </w:p>
    <w:p>
      <w:r>
        <w:t xml:space="preserve">SLU Artdatabanken, 2024. </w:t>
      </w:r>
      <w:r>
        <w:rPr>
          <w:i/>
        </w:rPr>
        <w:t xml:space="preserve">Artfakta: större barkplattbagge (Pytho kolwensis). </w:t>
      </w:r>
      <w:r>
        <w:t>https://artfakta.se/taxa/101692 (2024-11-21)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