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28113-2026 i Sollefteå kommun</w:t>
      </w:r>
    </w:p>
    <w:p>
      <w:r>
        <w:t>Denna tillsynsbegäran behandlar höga naturvärden i avverkningsanmälan A 28113-2026 i Sollefteå kommun som inkom 2026-06-22 och omfattar 7,3 ha.</w:t>
      </w:r>
    </w:p>
    <w:p>
      <w:pPr>
        <w:pStyle w:val="Caption"/>
      </w:pPr>
      <w:r>
        <w:drawing>
          <wp:inline xmlns:a="http://schemas.openxmlformats.org/drawingml/2006/main" xmlns:pic="http://schemas.openxmlformats.org/drawingml/2006/picture">
            <wp:extent cx="5342399" cy="5724000"/>
            <wp:docPr id="1" name="Picture 1"/>
            <wp:cNvGraphicFramePr>
              <a:graphicFrameLocks noChangeAspect="1"/>
            </wp:cNvGraphicFramePr>
            <a:graphic>
              <a:graphicData uri="http://schemas.openxmlformats.org/drawingml/2006/picture">
                <pic:pic>
                  <pic:nvPicPr>
                    <pic:cNvPr id="0" name="A 28113-2026 karta.png"/>
                    <pic:cNvPicPr/>
                  </pic:nvPicPr>
                  <pic:blipFill>
                    <a:blip r:embed="rId16"/>
                    <a:stretch>
                      <a:fillRect/>
                    </a:stretch>
                  </pic:blipFill>
                  <pic:spPr>
                    <a:xfrm>
                      <a:off x="0" y="0"/>
                      <a:ext cx="5342399" cy="572400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7071759, E 597749 i SWEREF 99 TM.</w:t>
      </w:r>
    </w:p>
    <w:p>
      <w:r>
        <w:t>I och inom 14 meter från avverkningsanmälan finns fynd av 21 naturvårdsarter, varav 13 är rödlistade, 6 är fridlysta, 12 är typiska (T) och 4 är signalarter (S): garnlav (VU, T), skrovlig taggsvamp (VU), blanksvart spiklav (NT), dropptaggsvamp (NT, T), dvärgbägarlav (NT, T), kolflarnlav (NT, T), mörk kolflarnlav (NT), talltita (NT, §4), tretåig hackspett (NT, T, §4), ullticka (NT, T), vedflamlav (NT), vedskivlav (NT, T), vitgrynig nållav (NT), björksplintborre (S), norrlandslav (S, T), nästlav (S, T), vedticka (S, T), spillkråka (T, §4), tjäder (T,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0.18 ha med buffertzonerna och får av detta skäl inte avverkas.</w:t>
      </w:r>
    </w:p>
    <w:p>
      <w:pPr>
        <w:pStyle w:val="Caption"/>
      </w:pPr>
      <w:r>
        <w:drawing>
          <wp:inline xmlns:a="http://schemas.openxmlformats.org/drawingml/2006/main" xmlns:pic="http://schemas.openxmlformats.org/drawingml/2006/picture">
            <wp:extent cx="5486400" cy="8153945"/>
            <wp:docPr id="2" name="Picture 2"/>
            <wp:cNvGraphicFramePr>
              <a:graphicFrameLocks noChangeAspect="1"/>
            </wp:cNvGraphicFramePr>
            <a:graphic>
              <a:graphicData uri="http://schemas.openxmlformats.org/drawingml/2006/picture">
                <pic:pic>
                  <pic:nvPicPr>
                    <pic:cNvPr id="0" name="A 28113-2026 karta knärot.png"/>
                    <pic:cNvPicPr/>
                  </pic:nvPicPr>
                  <pic:blipFill>
                    <a:blip r:embed="rId17"/>
                    <a:stretch>
                      <a:fillRect/>
                    </a:stretch>
                  </pic:blipFill>
                  <pic:spPr>
                    <a:xfrm>
                      <a:off x="0" y="0"/>
                      <a:ext cx="5486400" cy="815394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7071759, E 597749 i SWEREF 99 TM.</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dvärgbägarlav (NT, T), kolflarnlav (NT, T), tretåig hackspett (NT, T, §4), ullticka (NT, T), vedskivlav (NT, T), norrlandslav (S, T), nästlav (S, T), vedticka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