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43329-2025 i Sollefteå kommun</w:t>
      </w:r>
    </w:p>
    <w:p>
      <w:r>
        <w:t>Detta dokument behandlar höga naturvärden i avverkningsanmälan A 43329-2025 i Sollefteå kommun. Denna avverkningsanmälan inkom 2025-09-10 16:15:36 och omfattar 22,5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28 naturvårdsarter hittats: doftticka (VU, §8), knärot (VU, §8), blå taggsvamp (NT), garnlav (NT), granticka (NT), gränsticka (NT), järpe (NT, §4), kolflarnlav (NT), lunglav (NT), mörk kolflarnlav (NT), rosenticka (NT), skogshare (NT), spillkråka (NT, §4), stjärntagging (NT), tretåig hackspett (NT, §4), ullticka (NT), bårdlav (S), dropptaggsvamp (S), fjällig taggsvamp s.str. (S), luddlav (S), mindre märgborre (S), norrlandslav (S), rävticka (S), skinnlav (S), stuplav (S), vedticka (S), tjäder (§4) och revlummer (§9). Av dessa är 16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191471"/>
            <wp:docPr id="1" name="Picture 1"/>
            <wp:cNvGraphicFramePr>
              <a:graphicFrameLocks noChangeAspect="1"/>
            </wp:cNvGraphicFramePr>
            <a:graphic>
              <a:graphicData uri="http://schemas.openxmlformats.org/drawingml/2006/picture">
                <pic:pic>
                  <pic:nvPicPr>
                    <pic:cNvPr id="0" name="A 43329-2025 karta.png"/>
                    <pic:cNvPicPr/>
                  </pic:nvPicPr>
                  <pic:blipFill>
                    <a:blip r:embed="rId16"/>
                    <a:stretch>
                      <a:fillRect/>
                    </a:stretch>
                  </pic:blipFill>
                  <pic:spPr>
                    <a:xfrm>
                      <a:off x="0" y="0"/>
                      <a:ext cx="5486400" cy="21914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7024609, E 622133 i SWEREF 99 TM.</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Rävticka</w:t>
      </w:r>
      <w:r>
        <w:t xml:space="preserve"> är typisk art för </w:t>
      </w:r>
      <w:r>
        <w:rPr>
          <w:i/>
        </w:rPr>
        <w:t xml:space="preserve">9010 Taiga </w:t>
      </w:r>
      <w:r>
        <w:t>(SLU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Fridlysta arter</w:t>
      </w:r>
    </w:p>
    <w:p>
      <w:r>
        <w:t>Följande fridlysta arter har sina livsmiljöer och växtplatser i den avverkningsanmälda skogen: doftticka (VU, §8), knärot (VU, §8), järpe (NT, §4), spillkråka (NT, §4), tretåig hackspett (NT, §4), tjäder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4.42 ha med buffertzonerna och får av detta skäl inte avverkas.</w:t>
      </w:r>
    </w:p>
    <w:p>
      <w:pPr>
        <w:pStyle w:val="Caption"/>
      </w:pPr>
      <w:r>
        <w:drawing>
          <wp:inline xmlns:a="http://schemas.openxmlformats.org/drawingml/2006/main" xmlns:pic="http://schemas.openxmlformats.org/drawingml/2006/picture">
            <wp:extent cx="5486400" cy="2471299"/>
            <wp:docPr id="2" name="Picture 2"/>
            <wp:cNvGraphicFramePr>
              <a:graphicFrameLocks noChangeAspect="1"/>
            </wp:cNvGraphicFramePr>
            <a:graphic>
              <a:graphicData uri="http://schemas.openxmlformats.org/drawingml/2006/picture">
                <pic:pic>
                  <pic:nvPicPr>
                    <pic:cNvPr id="0" name="A 43329-2025 karta knärot.png"/>
                    <pic:cNvPicPr/>
                  </pic:nvPicPr>
                  <pic:blipFill>
                    <a:blip r:embed="rId17"/>
                    <a:stretch>
                      <a:fillRect/>
                    </a:stretch>
                  </pic:blipFill>
                  <pic:spPr>
                    <a:xfrm>
                      <a:off x="0" y="0"/>
                      <a:ext cx="5486400" cy="247129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7024609, E 622133 i SWEREF 99 TM.</w:t>
      </w:r>
    </w:p>
    <w:p>
      <w:pPr>
        <w:pStyle w:val="Caption"/>
      </w:pP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