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43602-2021 i Sollefteå kommun</w:t>
      </w:r>
    </w:p>
    <w:p>
      <w:r>
        <w:t>Detta dokument behandlar höga naturvärden i avverkningsanmälan A 43602-2021 i Sollefteå kommun. Denna avverkningsanmälan inkom 2021-08-25 och omfattar 7,6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12 naturvårdsarter hittats: knärot (VU, §8), rynkskinn (VU), brunpudrad nållav (NT), granticka (NT), lunglav (NT), rosenticka (NT), ullticka (NT), korallblylav (S), kornig nållav (S), skinnlav (S), stuplav (S) och vedticka (S).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63432"/>
            <wp:docPr id="1" name="Picture 1"/>
            <wp:cNvGraphicFramePr>
              <a:graphicFrameLocks noChangeAspect="1"/>
            </wp:cNvGraphicFramePr>
            <a:graphic>
              <a:graphicData uri="http://schemas.openxmlformats.org/drawingml/2006/picture">
                <pic:pic>
                  <pic:nvPicPr>
                    <pic:cNvPr id="0" name="A 43602-2021 karta.png"/>
                    <pic:cNvPicPr/>
                  </pic:nvPicPr>
                  <pic:blipFill>
                    <a:blip r:embed="rId16"/>
                    <a:stretch>
                      <a:fillRect/>
                    </a:stretch>
                  </pic:blipFill>
                  <pic:spPr>
                    <a:xfrm>
                      <a:off x="0" y="0"/>
                      <a:ext cx="5486400" cy="39634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6999090, E 607748 i SWEREF 99 TM.</w:t>
      </w:r>
    </w:p>
    <w:p>
      <w:r>
        <w:rPr>
          <w:b/>
        </w:rPr>
        <w:t>Brunpudrad nållav (NT)</w:t>
      </w:r>
      <w:r>
        <w:t xml:space="preserve"> är beroende av hög, jämn luftfuktighet och kan påträffas i fuktiga skogar av naturskogskaraktär, ofta i sumpgranskog eller andra sumpskogar. Arten är placerad högst upp i Skogsstyrelsens värdepyramid för bedömning av skog med höga naturvärden och förekomster bör undantas från skogsbruksåtgärder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0.58 ha med buffertzonerna och får av detta skäl inte avverkas.</w:t>
      </w:r>
    </w:p>
    <w:p>
      <w:pPr>
        <w:pStyle w:val="Caption"/>
      </w:pPr>
      <w:r>
        <w:drawing>
          <wp:inline xmlns:a="http://schemas.openxmlformats.org/drawingml/2006/main" xmlns:pic="http://schemas.openxmlformats.org/drawingml/2006/picture">
            <wp:extent cx="5486400" cy="4654643"/>
            <wp:docPr id="2" name="Picture 2"/>
            <wp:cNvGraphicFramePr>
              <a:graphicFrameLocks noChangeAspect="1"/>
            </wp:cNvGraphicFramePr>
            <a:graphic>
              <a:graphicData uri="http://schemas.openxmlformats.org/drawingml/2006/picture">
                <pic:pic>
                  <pic:nvPicPr>
                    <pic:cNvPr id="0" name="A 43602-2021 karta knärot.png"/>
                    <pic:cNvPicPr/>
                  </pic:nvPicPr>
                  <pic:blipFill>
                    <a:blip r:embed="rId17"/>
                    <a:stretch>
                      <a:fillRect/>
                    </a:stretch>
                  </pic:blipFill>
                  <pic:spPr>
                    <a:xfrm>
                      <a:off x="0" y="0"/>
                      <a:ext cx="5486400" cy="465464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6999090, E 607748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2025-01-15</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