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samrådsanmälan S 3451-2025 i Sollefteå kommun</w:t>
      </w:r>
    </w:p>
    <w:p>
      <w:r>
        <w:t>Denna tillsynsbegäran behandlar höga naturvärden i samrådsanmälan S 3451-2025 i Sollefteå kommun som inkom 2025-12-05 och omfattar 2,9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63353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 3451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63353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samrådsanmälan. Markörer utan svart kant är placerade på fyndplatsen. Markörer med svart kant är placerade vid sidan av fyndplatsen har ett svart streck som visar fyndplatsens exakta position. Kartans mittpunktskoordinat är N 7031666, E 584879 i SWEREF 99 TM.</w:t>
      </w:r>
    </w:p>
    <w:p>
      <w:r>
        <w:t>I samrådsanmälan finns fynd av 1 naturvårdsarter, varav 1 är fridlyst och 1 är typisk (T): tofsmes (T, §4).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samrådsanmälan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samrådsanmälda skogen. De påträffade naturvårdsarterna är ett tydligt kvitto på att det rör sig om en skog med höga naturvärden.</w:t>
      </w:r>
    </w:p>
    <w:p>
      <w:r>
        <w:rPr>
          <w:b/>
        </w:rPr>
        <w:t>Tofsmes (§4)</w:t>
      </w:r>
      <w:r>
        <w:t xml:space="preserve"> häckar i barr- och blandskog, främst i tallskog. Tofsmes är typisk art för </w:t>
      </w:r>
      <w:r>
        <w:rPr>
          <w:i/>
        </w:rPr>
        <w:t xml:space="preserve">9010 Taiga </w:t>
      </w:r>
      <w:r>
        <w:t>(SLU Artdatabanken, 2025).</w:t>
      </w:r>
    </w:p>
    <w:p>
      <w:pPr>
        <w:pStyle w:val="Heading1"/>
      </w:pPr>
      <w:r>
        <w:t>EU:s fågeldirektiv</w:t>
      </w:r>
    </w:p>
    <w:p>
      <w:r>
        <w:t xml:space="preserve">Europeiska unionens medlemsländer är skyldiga att agera i enlighet med EU:s fågeldirektiv där det uttryckligen står att direktivet gäller för fåglar samt för deras ägg, bon och </w:t>
      </w:r>
      <w:r>
        <w:rPr>
          <w:b/>
        </w:rPr>
        <w:t xml:space="preserve">livsmiljöer </w:t>
      </w:r>
      <w:r>
        <w:t>(artikel 1). Vidare att de åtgärder som vidtas inte får leda till en försämring av den nuvarande situationen beträffande bevarandet av de fågelarter som avses i artikel 1 (artikel 13). Fågeldirektivet är styrande för tillsynsansvariga myndigheters ärendehantering, ställningstaganden och beslutsfattande.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2026-07-16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