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28161-2024 i Sollefteå kommun</w:t>
      </w:r>
    </w:p>
    <w:p>
      <w:r>
        <w:t>Detta klagomål behandlar höga naturvärden i avverkningsanmälan A 28161-2024 i Sollefteå kommun som inkom 2024-07-03 och omfattar 1,5 ha.</w:t>
      </w:r>
    </w:p>
    <w:p>
      <w:pPr>
        <w:pStyle w:val="Caption"/>
      </w:pPr>
      <w:r>
        <w:drawing>
          <wp:inline xmlns:a="http://schemas.openxmlformats.org/drawingml/2006/main" xmlns:pic="http://schemas.openxmlformats.org/drawingml/2006/picture">
            <wp:extent cx="5486400" cy="4876428"/>
            <wp:docPr id="1" name="Picture 1"/>
            <wp:cNvGraphicFramePr>
              <a:graphicFrameLocks noChangeAspect="1"/>
            </wp:cNvGraphicFramePr>
            <a:graphic>
              <a:graphicData uri="http://schemas.openxmlformats.org/drawingml/2006/picture">
                <pic:pic>
                  <pic:nvPicPr>
                    <pic:cNvPr id="0" name="A 28161-2024 karta.png"/>
                    <pic:cNvPicPr/>
                  </pic:nvPicPr>
                  <pic:blipFill>
                    <a:blip r:embed="rId16"/>
                    <a:stretch>
                      <a:fillRect/>
                    </a:stretch>
                  </pic:blipFill>
                  <pic:spPr>
                    <a:xfrm>
                      <a:off x="0" y="0"/>
                      <a:ext cx="5486400" cy="4876428"/>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7033793, E 596148 i SWEREF 99 TM.</w:t>
      </w:r>
    </w:p>
    <w:p>
      <w:r>
        <w:t>I och inom 16 meter från avverkningsanmälan finns fynd av 18 naturvårdsarter, varav 10 är rödlistade, 4 är fridlysta, 15 är typiska (T) och 6 är signalarter (S): doftticka (VU, T, §8), garnlav (VU, T), kilporing (VU), knärot (VU, T, §8), skorpgrynna (VU), lunglav (NT, T), rosenticka (NT, T), rynkskinn (NT, T), ullticka (NT, T), vedtrappmossa (NT, T), bårdlav (S, T), luddlav (S, T), norrlandslav (S, T), stuplav (S, T), svart trolldruva (S, T), vedticka (S,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Kilporing (VU)</w:t>
      </w:r>
      <w:r>
        <w:t xml:space="preserve"> växer på barken av döda liggande grova stammar av tall och gran som är förrötade av tickor som violticka </w:t>
      </w:r>
      <w:r>
        <w:rPr>
          <w:i/>
        </w:rPr>
        <w:t>Trichaptum spp</w:t>
      </w:r>
      <w:r>
        <w:t>. Avverkning av naturskogslika miljöer och av grova granar där svampen förekommer är ett direkt hot mot artens fortlevnad. Undanta gamla granskogar som hyser kilporing från skogsbruk och gynna arten genom att avsätta fler barrskogar till fri utveckling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1.23 ha med buffertzonerna och får av detta skäl inte avverkas.</w:t>
      </w:r>
    </w:p>
    <w:p>
      <w:pPr>
        <w:pStyle w:val="Caption"/>
      </w:pPr>
      <w:r>
        <w:drawing>
          <wp:inline xmlns:a="http://schemas.openxmlformats.org/drawingml/2006/main" xmlns:pic="http://schemas.openxmlformats.org/drawingml/2006/picture">
            <wp:extent cx="5486400" cy="6079750"/>
            <wp:docPr id="2" name="Picture 2"/>
            <wp:cNvGraphicFramePr>
              <a:graphicFrameLocks noChangeAspect="1"/>
            </wp:cNvGraphicFramePr>
            <a:graphic>
              <a:graphicData uri="http://schemas.openxmlformats.org/drawingml/2006/picture">
                <pic:pic>
                  <pic:nvPicPr>
                    <pic:cNvPr id="0" name="A 28161-2024 karta knärot.png"/>
                    <pic:cNvPicPr/>
                  </pic:nvPicPr>
                  <pic:blipFill>
                    <a:blip r:embed="rId17"/>
                    <a:stretch>
                      <a:fillRect/>
                    </a:stretch>
                  </pic:blipFill>
                  <pic:spPr>
                    <a:xfrm>
                      <a:off x="0" y="0"/>
                      <a:ext cx="5486400" cy="607975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7033793, E 596148 i SWEREF 99 TM.</w:t>
      </w:r>
    </w:p>
    <w:p>
      <w:r>
        <w:rPr>
          <w:b/>
        </w:rPr>
        <w:t>Skorpgrynna (VU)</w:t>
      </w:r>
      <w:r>
        <w:t xml:space="preserve"> är knuten till granlågor i rikare skogar, ofta äldre bestånd. Den är knuten till miljöer med kontinuitet av gamla träd och död ved, vilka minskar i omfattning, även om minskningstakten är svår att bedöma. Arten är troligen förbisedd men senare års utökade eftersök bekräftar artens specifika ekologiska krav och sällsynthet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