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38270-2025 i Sollefteå kommun</w:t>
      </w:r>
    </w:p>
    <w:p>
      <w:r>
        <w:t>Denna tillsynsbegäran behandlar höga naturvärden i avverkningsanmälan A 38270-2025 i Sollefteå kommun som inkom 2025-08-14 och omfattar 16,0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38270-2025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7090181, E 586940 i SWEREF 99 TM.</w:t>
      </w:r>
    </w:p>
    <w:p>
      <w:r>
        <w:t>I och inom 18 meter från avverkningsanmälan finns fynd av 18 naturvårdsarter, varav 15 är rödlistade, 13 är typiska (T) och 3 är signalarter (S): garnlav (VU, T), gräddporing (VU, T), smalfotad taggsvamp (VU), blå taggsvamp (NT, T), blågrå svartspik (NT), dropptaggsvamp (NT, T), dvärgbägarlav (NT, T), kolflarnlav (NT, T), lunglav (NT, T), nordtagging (NT), reliktbock (NT, T), skarp dropptaggsvamp (NT), tallticka (NT, T), vedflamlav (NT), vedskivlav (NT, T), norrlandslav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blå taggsvamp (NT, T), dropptaggsvamp (NT, T), dvärgbägarlav (NT, T), kolflarnlav (NT, T), lunglav (NT, T), reliktbock (NT, T), tallticka (NT, T), vedskivlav (NT, T), norrlandslav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