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2894-2025 i Sollefteå kommun</w:t>
      </w:r>
    </w:p>
    <w:p>
      <w:r>
        <w:t>Denna tillsynsbegäran behandlar höga naturvärden i samrådsanmälan S 2894-2025 i Sollefteå kommun som inkom 2025-10-16 och omfattar 618,8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S 2894-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7058336, E 600263 i SWEREF 99 TM.</w:t>
      </w:r>
    </w:p>
    <w:p>
      <w:r>
        <w:t>I och inom 25 meter från samrådsanmälan finns fynd av 8 naturvårdsarter, varav 6 är rödlistade, 1 är fridlyst, 4 är typiska (T) och 1 är signalart (S): rosettgelélav (EN), allékantlav (VU), gränsticka (VU, T), doftskinn (NT, T), lunglav (NT, T), ullticka (NT, T), källmossor (S)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Rosettgelélav (EN)</w:t>
      </w:r>
      <w:r>
        <w:t xml:space="preserve"> är en starkt hotad art som växer på lövträd, främst gamla aspar, almar och askar, i gamla skogar med hög och jämn luftfuktighet. Alla lokaler med rosettgelélav måste skyddas och även åtgärder som minskar luftfuktigheten kan vara negativa, t.ex. avverkningar på eller i omedelbar närhet av lokalerna (SLU Artdatabanken, 2024).</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