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44407-2025 i Sollefteå kommun</w:t>
      </w:r>
    </w:p>
    <w:p>
      <w:r>
        <w:t>Denna tillsynsbegäran behandlar höga naturvärden i avverkningsanmälan A 44407-2025 i Sollefteå kommun som inkom 2025-09-16 och omfattar 4,1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16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4407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7022848, E 603131 i SWEREF 99 TM.</w:t>
      </w:r>
    </w:p>
    <w:p>
      <w:r>
        <w:t>I avverkningsanmälan finns fynd av 4 naturvårdsarter, varav 1 är fridlyst, 3 är typiska (T) och 3 är signalarter (S): dvärghäxört (S, T), luddlav (S, T), stuplav (S, T) och revlummer (§9).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Dvärghäxört </w:t>
      </w:r>
      <w:r>
        <w:t xml:space="preserve">är en bra signalart som indikerar skogar med rörligt markvatten, långvarig beskuggning, hög luftfuktighet och näringsrik mark. Arten är mycket känslig för skogsbruksåtgärder och många växtplatser har i sen tid utplånats genom slutavverkning eller dikning. I södra Sverige på lokaler med riklig förekomst av häxörter kan den rödlistade fjärilen häxörtsbrokmal (NT) eftersökas. Larven lever i en vitaktig fläckmina i blad på häxört. Minan är lätt att hitta och den bästa metoden att fastställa förekomst av häxörtsbrokmal är således att söka efter minorna. Dvärghäxört är typisk art för </w:t>
      </w:r>
      <w:r>
        <w:rPr>
          <w:i/>
        </w:rPr>
        <w:t>9080 Lövsumpskog</w:t>
      </w:r>
      <w:r>
        <w:t xml:space="preserve"> (SLU Artdatabanken, 2024; Nitare &amp; Skogsstyrelsen, 2019).</w:t>
      </w:r>
    </w:p>
    <w:p>
      <w:r>
        <w:rPr>
          <w:b/>
        </w:rPr>
        <w:t>Luddlav</w:t>
      </w:r>
      <w:r>
        <w:t xml:space="preserve"> signalerar lång skoglig kontinuitet med ett stabilt lokal- och mikroklimat med hög och jämn fuktighet. Luddlav är typisk art för </w:t>
      </w:r>
      <w:r>
        <w:rPr>
          <w:i/>
        </w:rPr>
        <w:t>9010 Taiga,</w:t>
      </w:r>
      <w:r>
        <w:t xml:space="preserve"> </w:t>
      </w:r>
      <w:r>
        <w:rPr>
          <w:i/>
        </w:rPr>
        <w:t xml:space="preserve">9020 Nordlig ädellövskog, 9070 Trädklädd betesmark, 9110 Näringsfattig bokskog, 9180 Ädellövskog i branter </w:t>
      </w:r>
      <w:r>
        <w:t>och</w:t>
      </w:r>
      <w:r>
        <w:rPr>
          <w:i/>
        </w:rPr>
        <w:t xml:space="preserve"> 9190 Näringsfattig ekskog </w:t>
      </w:r>
      <w:r>
        <w:t>(Nitare &amp; Skogsstyrelsen, 2019; SLU Artdatabanken, 2025).</w:t>
      </w:r>
    </w:p>
    <w:p>
      <w:r>
        <w:rPr>
          <w:b/>
        </w:rPr>
        <w:t>Stuplav</w:t>
      </w:r>
      <w:r>
        <w:t xml:space="preserve"> är en mycket bra signalart i hela sitt utbredningsområde och förekommer nästan enbart i skogsmiljöer med höga naturvärden. Den indikerar långvarig förekomst av gamla lövträd och miljöer med konstant hög luftfuktighet. I skogar med suboceaniskt klimat finns det en mycket sällsynt parasit, njurlavsknapp </w:t>
      </w:r>
      <w:r>
        <w:rPr>
          <w:i/>
        </w:rPr>
        <w:t>Pletocarpon nephromeum</w:t>
      </w:r>
      <w:r>
        <w:t xml:space="preserve"> (EN), som växer på stuplav. Ytterligare tre sällsynta lavparasiter, </w:t>
      </w:r>
      <w:r>
        <w:rPr>
          <w:i/>
        </w:rPr>
        <w:t>Protounguicularia nephromatis</w:t>
      </w:r>
      <w:r>
        <w:t xml:space="preserve"> (VU), </w:t>
      </w:r>
      <w:r>
        <w:rPr>
          <w:i/>
        </w:rPr>
        <w:t>Refractohilum galligenum</w:t>
      </w:r>
      <w:r>
        <w:t xml:space="preserve"> (NT) och </w:t>
      </w:r>
      <w:r>
        <w:rPr>
          <w:i/>
        </w:rPr>
        <w:t>Roselliniella nephromatis</w:t>
      </w:r>
      <w:r>
        <w:t xml:space="preserve"> (DD), kan också påträffas på stuplav. Stuplav är typisk art för </w:t>
      </w:r>
      <w:r>
        <w:rPr>
          <w:i/>
        </w:rPr>
        <w:t>9010 Taiga</w:t>
      </w:r>
      <w:r>
        <w:t xml:space="preserve"> (SLU Artdatabanken, 2026;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