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38294-2024 i Sollefteå kommun</w:t>
      </w:r>
    </w:p>
    <w:p>
      <w:r>
        <w:t>Detta dokument behandlar höga naturvärden i avverkningsanmälan A 38294-2024 i Sollefteå kommun. Denna avverkningsanmälan inkom 2024-09-10 och omfattar 18,8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8 naturvårdsarter hittats: knärot (VU, §8), garnlav (NT), granticka (NT), spillkråka (NT, §4), talltita (NT, §4), tretåig hackspett (NT, §4), ullticka (NT) och revlummer (§9). Av dessa är 7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856738"/>
            <wp:docPr id="1" name="Picture 1"/>
            <wp:cNvGraphicFramePr>
              <a:graphicFrameLocks noChangeAspect="1"/>
            </wp:cNvGraphicFramePr>
            <a:graphic>
              <a:graphicData uri="http://schemas.openxmlformats.org/drawingml/2006/picture">
                <pic:pic>
                  <pic:nvPicPr>
                    <pic:cNvPr id="0" name="A 38294-2024 karta.png"/>
                    <pic:cNvPicPr/>
                  </pic:nvPicPr>
                  <pic:blipFill>
                    <a:blip r:embed="rId16"/>
                    <a:stretch>
                      <a:fillRect/>
                    </a:stretch>
                  </pic:blipFill>
                  <pic:spPr>
                    <a:xfrm>
                      <a:off x="0" y="0"/>
                      <a:ext cx="5486400" cy="485673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7084413, E 586047 i SWEREF 99 TM.</w:t>
      </w:r>
    </w:p>
    <w:p>
      <w:pPr>
        <w:pStyle w:val="Heading1"/>
      </w:pPr>
      <w:r>
        <w:t>Fridlysta arter</w:t>
      </w:r>
    </w:p>
    <w:p>
      <w:r>
        <w:t>Följande fridlysta arter har sina livsmiljöer och växtplatser i den avverkningsanmälda skogen: knärot (VU, §8), spillkråka (NT, §4), talltita (NT, §4), tretåig hackspett (NT, §4) och revlummer (§9).</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6 fyndplatser för knärot registrerade på Artportalen. Figur 2 visar gränserna för buffertzoner på 50 m, som behöver lämnas kring fyndplatserna för att knärotslokalerna inte ska försvinna vid en avverkning. Av det avverkningsanmälda området överlappar 3.51 ha med buffertzonerna och får av detta skäl inte avverkas.</w:t>
      </w:r>
    </w:p>
    <w:p>
      <w:pPr>
        <w:pStyle w:val="Caption"/>
      </w:pPr>
      <w:r>
        <w:drawing>
          <wp:inline xmlns:a="http://schemas.openxmlformats.org/drawingml/2006/main" xmlns:pic="http://schemas.openxmlformats.org/drawingml/2006/picture">
            <wp:extent cx="5486400" cy="6037115"/>
            <wp:docPr id="2" name="Picture 2"/>
            <wp:cNvGraphicFramePr>
              <a:graphicFrameLocks noChangeAspect="1"/>
            </wp:cNvGraphicFramePr>
            <a:graphic>
              <a:graphicData uri="http://schemas.openxmlformats.org/drawingml/2006/picture">
                <pic:pic>
                  <pic:nvPicPr>
                    <pic:cNvPr id="0" name="A 38294-2024 karta knärot.png"/>
                    <pic:cNvPicPr/>
                  </pic:nvPicPr>
                  <pic:blipFill>
                    <a:blip r:embed="rId17"/>
                    <a:stretch>
                      <a:fillRect/>
                    </a:stretch>
                  </pic:blipFill>
                  <pic:spPr>
                    <a:xfrm>
                      <a:off x="0" y="0"/>
                      <a:ext cx="5486400" cy="6037115"/>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7084413, E 586047 i SWEREF 99 TM.</w:t>
      </w:r>
    </w:p>
    <w:p>
      <w:pPr>
        <w:pStyle w:val="Caption"/>
      </w:pP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(Skogsstyrelsen, 2016).</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8 naturvårdsarter varav 7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 xml:space="preserve">Ecological Applications, 22, 2049–2064 </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p>
      <w:pPr>
        <w:pStyle w:val="Heading1"/>
      </w:pPr>
      <w:r>
        <w:t>Spillkråka – ekologi samt krav på livsmiljön</w:t>
      </w:r>
    </w:p>
    <w:p>
      <w:r>
        <w:t>Spillkråka (NT) är rödlistad som nära hotad, fridlyst enligt §4 Artskyddsförordningen och ingår i bilaga 1 i EU:s fågeldirektiv. Spillkråka lever i både barr- och blandskog liksom i ren lövskog. De tätaste populationerna tenderar att finnas i äldre, variationsrik blandskog med gott om död ved och gamla träd.</w:t>
      </w:r>
    </w:p>
    <w:p>
      <w:r>
        <w:t>Varje par utnyttjar 400–1000 hektar skog beroende på skogens kvalitet. En minskning av populationen pågår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(Artdatabanken 2023).</w:t>
      </w:r>
    </w:p>
    <w:p>
      <w:pPr>
        <w:pStyle w:val="Heading2"/>
      </w:pPr>
      <w:r>
        <w:t>Referenser – spillkråka</w:t>
      </w:r>
    </w:p>
    <w:p>
      <w:r>
        <w:t xml:space="preserve">SLU Artdatabanken, 2021. </w:t>
      </w:r>
      <w:r>
        <w:rPr>
          <w:i/>
        </w:rPr>
        <w:t xml:space="preserve">Artfaktablad. Naturvård – artfakta. </w:t>
      </w:r>
      <w:r>
        <w:t>SLU Artdatabanken, Uppsala</w:t>
      </w:r>
    </w:p>
    <w:p>
      <w:pPr>
        <w:pStyle w:val="Heading1"/>
      </w:pPr>
      <w:r>
        <w:t>Talltita – ekologi samt krav på livsmiljön</w:t>
      </w:r>
    </w:p>
    <w:p>
      <w:r>
        <w:t xml:space="preserve">Talltita är rödlistad som NT, fridlyst och prioriterad art i Skogsvårdslagen. Den omfattas av EU:s fågeldirektiv. Arten har minskat kraftigt de senaste 30 åren och minskningstakten innevarande 10-årsperiod beräknas till 20 (10–30) % (SLU Artdatabanken, 2022). </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 xml:space="preserve">For. Ecol. Manage. 319, 169–175. </w:t>
      </w:r>
    </w:p>
    <w:p>
      <w:r>
        <w:t xml:space="preserve">Ekman, J., 1979. </w:t>
      </w:r>
      <w:r>
        <w:rPr>
          <w:i/>
        </w:rPr>
        <w:t xml:space="preserve">Coherence, composition and territories of winter social groups of the Willow Tit Parus montanus and the Crested Tit P. cristatus. </w:t>
      </w:r>
      <w:r>
        <w:t xml:space="preserve">Ornis Scandinavica, 10, pp 56–68 </w:t>
      </w:r>
    </w:p>
    <w:p>
      <w:r>
        <w:t xml:space="preserve">Griesser, M., Nystrand, M., Eggers, S., Ekman, J., 2007. </w:t>
      </w:r>
      <w:r>
        <w:rPr>
          <w:i/>
        </w:rPr>
        <w:t xml:space="preserve">Impact of forestry practices on fitness correlates and population productivity in an open-nesting bird species. </w:t>
      </w:r>
      <w:r>
        <w:t xml:space="preserve">Conserv. Biol. 21, 767–774. https://doi.org/10.1111/j.1523- 1739.2007.00675.x </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 xml:space="preserve">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w:t>
      </w:r>
    </w:p>
    <w:p>
      <w:r>
        <w:t>Förutom fridlysning enligt §4 Artskyddsförordningen är tretåig hackspett även förtecknad i EU:s fågeldirektiv bilaga 1. Den ingår också i Natura 2000 och är förtecknad i Bernkonventionen bilaga II (strikt skyddade djurarter).</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 xml:space="preserve">Vägledning för hänsyn till fåglar – Tretåig hackspett. </w:t>
      </w:r>
      <w:r>
        <w:t>www.skogsstyrelsen.se</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2025-01-27</w:t>
      <w:br/>
      <w:br/>
    </w:r>
    <w:r>
      <w:t>Till: Kommuner</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