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53768-2023 i Sollefteå kommun</w:t>
      </w:r>
    </w:p>
    <w:p>
      <w:r>
        <w:t>Detta dokument behandlar höga naturvärden i avverkningsanmälan A 53768-2023 i Sollefteå kommun. Denna avverkningsanmälan inkom 2023-10-31 och omfattar 7,6 ha.</w:t>
      </w:r>
    </w:p>
    <w:p>
      <w:r>
        <w:t>Nedan presenteras fynd av naturvårdsarter och fridlysta arter som gjorts i det avverkningsanmälda området, samt relevanta utdrag ur standarderna för FSC, Chain of Custody, Controlled Wood och PEFC. I BILAGA 1 finns artfakta om fridlysta och rödlistade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10 naturvårdsarter hittats: blackticka (VU), gammelgransskål (NT), garnlav (NT), granticka (NT), gränsticka (NT), lunglav (NT), stjärntagging (NT), talltita (NT, §4), ullticka (NT) och vedticka (S). Av dessa är 9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896004"/>
            <wp:docPr id="1" name="Picture 1"/>
            <wp:cNvGraphicFramePr>
              <a:graphicFrameLocks noChangeAspect="1"/>
            </wp:cNvGraphicFramePr>
            <a:graphic>
              <a:graphicData uri="http://schemas.openxmlformats.org/drawingml/2006/picture">
                <pic:pic>
                  <pic:nvPicPr>
                    <pic:cNvPr id="0" name="A 53768-2023 karta.png"/>
                    <pic:cNvPicPr/>
                  </pic:nvPicPr>
                  <pic:blipFill>
                    <a:blip r:embed="rId16"/>
                    <a:stretch>
                      <a:fillRect/>
                    </a:stretch>
                  </pic:blipFill>
                  <pic:spPr>
                    <a:xfrm>
                      <a:off x="0" y="0"/>
                      <a:ext cx="5486400" cy="4896004"/>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7014747, E 570869 i SWEREF 99 TM.</w:t>
      </w:r>
    </w:p>
    <w:p>
      <w:r>
        <w:rPr>
          <w:b/>
        </w:rPr>
        <w:t>Blackticka (VU)</w:t>
      </w:r>
      <w:r>
        <w:t>, rödlistad som sårbar, är en exklusiv svamp som signalerar fuktiga granskogar med mycket höga naturvärden. Den har klassificerats som en “urskogsindikator” och påträffas nästan enbart i urskogsartade barrnaturskogar med långvarig kontinuitet av grova lågor i olika nedbrytningsstadier. Skogsskötselåtgärder på eller i omedelbar närhet av lokalerna utgör ett hot och på lång sikt innebär fragmenteringen av skogslandskapet att artens förekomster isoleras vilket i sig utgör ett hot mot artens överlevnad. Fler skogar med blackticka måste skyddas (Nitare &amp; Skogsstyrelsen, 2019; SLU Artdatabanken, 2024).</w:t>
      </w:r>
    </w:p>
    <w:p>
      <w:r>
        <w:rPr>
          <w:b/>
        </w:rPr>
        <w:t>Gränsticka (NT)</w:t>
      </w:r>
      <w:r>
        <w:t xml:space="preserve"> är en mycket bra signalart inom hela sitt utbredningsområde. Den är huvudsakligen knuten till restbestånd av barrnaturskog och förekommer med ett tydligt optimum i orörda eller måttligt påverkade gamla granskogar där det föreligger långvarig kontinuitet av grov död ved. Lokaler som hyser arten, speciellt i mellersta och södra Sverige, bör undantas från skogsbruk (SLU Artdatabanken, 2024; Nitare &amp; Skogsstyrelsen, 2019).</w:t>
      </w:r>
    </w:p>
    <w:p>
      <w:r>
        <w:rPr>
          <w:b/>
        </w:rPr>
        <w:t>Lunglav (NT)</w:t>
      </w:r>
      <w:r>
        <w:t xml:space="preserve">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(SLU Artdatabanken, 2024; Nitare &amp; Skogsstyrelsen, 2019).</w:t>
      </w:r>
    </w:p>
    <w:p>
      <w:pPr>
        <w:pStyle w:val="Heading1"/>
      </w:pPr>
      <w:r>
        <w:t>Fridlysta arter</w:t>
      </w:r>
    </w:p>
    <w:p>
      <w:r>
        <w:t>Följande fridlysta arter har sina livsmiljöer och växtplatser i den avverkningsanmälda skogen: talltita (NT,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10 naturvårdsarter varav 9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w:t>
        <w:br/>
        <w:t>Fridlysta och rödlistade arter</w:t>
      </w:r>
    </w:p>
    <w:p>
      <w:pPr>
        <w:pStyle w:val="Heading1"/>
      </w:pPr>
      <w:r>
        <w:t>Lunglav – ekologi samt krav på livsmiljön</w:t>
      </w:r>
    </w:p>
    <w:p>
      <w:r>
        <w:t>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(SLU Artdatabanken, 2024; Nitare &amp; Skogsstyrelsen, 2019).</w:t>
      </w:r>
    </w:p>
    <w:p>
      <w:r>
        <w:t xml:space="preserve">På lunglav kan man sällsynt finna små svarta skivlika bildningar som liknar apothecier men som är en parasitisk svamp, Lunglavsknapp </w:t>
      </w:r>
      <w:r>
        <w:rPr>
          <w:i/>
        </w:rPr>
        <w:t>Plectocarpon lichenum</w:t>
      </w:r>
      <w:r>
        <w:t xml:space="preserve"> (VU). Det finns ytterligare två rödlistade parasiter vilka bara förekommer på lunglav, Skrovelmössing </w:t>
      </w:r>
      <w:r>
        <w:rPr>
          <w:i/>
        </w:rPr>
        <w:t>Dactylospora lobariella</w:t>
      </w:r>
      <w:r>
        <w:t xml:space="preserve"> (rödlistad som Kunskapsbrist DD) och Lunglavshårprick </w:t>
      </w:r>
      <w:r>
        <w:rPr>
          <w:i/>
        </w:rPr>
        <w:t>Niesslia lobariae</w:t>
      </w:r>
      <w:r>
        <w:t xml:space="preserve"> (rödlistad som Kunskapsbrist DD). Skrovelmössing (DD) har små svarta apothecier och bruna, 1-septerade sporer och Lunglavshårprick (DD) har brunhåriga perithecier och färglösa, 1-septerade sporer (SLU Artdatabanken, 2024; Nitare &amp; Skogsstyrelsen, 2019).</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2024. </w:t>
      </w:r>
      <w:r>
        <w:rPr>
          <w:i/>
        </w:rPr>
        <w:t xml:space="preserve">Artfaktablad. Naturvård – artfakta. </w:t>
      </w:r>
      <w:r>
        <w:t>SLU Artdatabanken, Uppsala.</w:t>
      </w:r>
    </w:p>
    <w:p>
      <w:pPr>
        <w:pStyle w:val="Heading1"/>
      </w:pPr>
      <w:r>
        <w:t>Talltita – ekologi samt krav på livsmiljön</w:t>
      </w:r>
    </w:p>
    <w:p>
      <w:r>
        <w:t xml:space="preserve">Talltita är rödlistad som NT, fridlyst och prioriterad art i Skogsvårdslagen. Den omfattas av EU:s fågeldirektiv. Arten har minskat kraftigt de senaste 30 åren och minskningstakten innevarande 10-årsperiod beräknas till 20 (10–30) % (SLU Artdatabanken, 2022). </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 xml:space="preserve">For. Ecol. Manage. 319, 169–175. </w:t>
      </w:r>
    </w:p>
    <w:p>
      <w:r>
        <w:t xml:space="preserve">Ekman, J., 1979. </w:t>
      </w:r>
      <w:r>
        <w:rPr>
          <w:i/>
        </w:rPr>
        <w:t xml:space="preserve">Coherence, composition and territories of winter social groups of the Willow Tit Parus montanus and the Crested Tit P. cristatus. </w:t>
      </w:r>
      <w:r>
        <w:t xml:space="preserve">Ornis Scandinavica, 10, pp 56–68 </w:t>
      </w:r>
    </w:p>
    <w:p>
      <w:r>
        <w:t xml:space="preserve">Griesser, M., Nystrand, M., Eggers, S., Ekman, J., 2007. </w:t>
      </w:r>
      <w:r>
        <w:rPr>
          <w:i/>
        </w:rPr>
        <w:t xml:space="preserve">Impact of forestry practices on fitness correlates and population productivity in an open-nesting bird species. </w:t>
      </w:r>
      <w:r>
        <w:t xml:space="preserve">Conserv. Biol. 21, 767–774. https://doi.org/10.1111/j.1523- 1739.2007.00675.x </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2025-04-07</w:t>
      <w:br/>
      <w:br/>
    </w:r>
    <w:r>
      <w:t>Till: SCA</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