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och inom 14 meter från avverkningsanmälan finns fynd av 13 naturvårdsarter, varav 10 är rödlistade, 4 är fridlysta, 7 är typiska (T) och 1 är signalart (S): garnlav (VU, T), skrovlig taggsvamp (VU), dropptaggsvamp (NT, T), dvärgbägarlav (NT, T), kolflarnlav (NT, T), mörk kolflarnlav (NT), talltita (NT, §4), tretåig hackspett (NT, T, §4), ullticka (NT, T), vitgrynig nållav (NT), norrlandslav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