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21686-2023 i Sollefteå kommun</w:t>
      </w:r>
    </w:p>
    <w:p>
      <w:r>
        <w:t>Detta dokument behandlar höga naturvärden i avverkningsanmälan A 21686-2023 i Sollefteå kommun. Denna avverkningsanmälan inkom 2023-05-17 och omfattar 12,6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knärot (VU, §8), lappticka (VU), blå taggsvamp (NT), garnlav (NT), järpe (NT, §4), kolflarnlav (NT), mörk kolflarnlav (NT), orange taggsvamp (NT), svart taggsvamp (NT), tretåig hackspett (NT, §4), ullticka (NT), dropptaggsvamp (S), skuggblåslav (S) och vedticka (S).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6675"/>
            <wp:docPr id="1" name="Picture 1"/>
            <wp:cNvGraphicFramePr>
              <a:graphicFrameLocks noChangeAspect="1"/>
            </wp:cNvGraphicFramePr>
            <a:graphic>
              <a:graphicData uri="http://schemas.openxmlformats.org/drawingml/2006/picture">
                <pic:pic>
                  <pic:nvPicPr>
                    <pic:cNvPr id="0" name="A 21686-2023 karta.png"/>
                    <pic:cNvPicPr/>
                  </pic:nvPicPr>
                  <pic:blipFill>
                    <a:blip r:embed="rId16"/>
                    <a:stretch>
                      <a:fillRect/>
                    </a:stretch>
                  </pic:blipFill>
                  <pic:spPr>
                    <a:xfrm>
                      <a:off x="0" y="0"/>
                      <a:ext cx="5486400" cy="48366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7066152, E 587288 i SWEREF 99 TM.</w:t>
      </w:r>
    </w:p>
    <w:p>
      <w:r>
        <w:rPr>
          <w:b/>
        </w:rPr>
        <w:t>Lappticka (VU)</w:t>
      </w:r>
      <w:r>
        <w:t>, rödlistad som sårbar, är knuten till gamla granskogar med riklig förekomst av död ved. Den klassas som en “urskogsindikator” och alla skogsskötselåtgärder på eller i omedelbar närhet av lokalerna utgör ett hot (Nitare &amp; Skogsstyrelsen, 2019; SLU Artdatabanken, 2024).</w:t>
      </w:r>
    </w:p>
    <w:p>
      <w:pPr>
        <w:pStyle w:val="Heading1"/>
      </w:pPr>
      <w:r>
        <w:t>Fridlysta arter</w:t>
      </w:r>
    </w:p>
    <w:p>
      <w:r>
        <w:t>Följande fridlysta arter har sina livsmiljöer och växtplatser i den avverkningsanmälda skogen: knärot (VU, §8), järpe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1.31 ha med buffertzonerna och får av detta skäl inte avverkas.</w:t>
      </w:r>
    </w:p>
    <w:p>
      <w:pPr>
        <w:pStyle w:val="Caption"/>
      </w:pPr>
      <w:r>
        <w:drawing>
          <wp:inline xmlns:a="http://schemas.openxmlformats.org/drawingml/2006/main" xmlns:pic="http://schemas.openxmlformats.org/drawingml/2006/picture">
            <wp:extent cx="5486400" cy="6004091"/>
            <wp:docPr id="2" name="Picture 2"/>
            <wp:cNvGraphicFramePr>
              <a:graphicFrameLocks noChangeAspect="1"/>
            </wp:cNvGraphicFramePr>
            <a:graphic>
              <a:graphicData uri="http://schemas.openxmlformats.org/drawingml/2006/picture">
                <pic:pic>
                  <pic:nvPicPr>
                    <pic:cNvPr id="0" name="A 21686-2023 karta knärot.png"/>
                    <pic:cNvPicPr/>
                  </pic:nvPicPr>
                  <pic:blipFill>
                    <a:blip r:embed="rId17"/>
                    <a:stretch>
                      <a:fillRect/>
                    </a:stretch>
                  </pic:blipFill>
                  <pic:spPr>
                    <a:xfrm>
                      <a:off x="0" y="0"/>
                      <a:ext cx="5486400" cy="600409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7066152, E 587288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