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49938-2021 i Sollefteå kommun</w:t>
      </w:r>
    </w:p>
    <w:p>
      <w:r>
        <w:t>Detta dokument behandlar höga naturvärden i avverkningsamälan A 49938-2021 i Sollefteå kommun. Denna avverkningsanmälan inkom 2021-09-17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grantickeporing (VU), gräddticka (VU), knärot (VU, §8), rynkskinn (VU), doftskinn (NT), gammelgransskål (NT), granticka (NT), kådvaxskinn (NT), lunglav (NT), nordlig nållav (NT), rosenticka (NT), ullticka (NT), vedtrappmossa (NT), vitgrynig nållav (NT) och mörk husmossa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49938-2021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7022532, E 627193 i SWEREF 99 TM.</w:t>
      </w:r>
    </w:p>
    <w:p>
      <w:pPr>
        <w:pStyle w:val="Heading1"/>
      </w:pPr>
      <w:r>
        <w:t>Fridlysta arter</w:t>
      </w:r>
    </w:p>
    <w:p>
      <w:r>
        <w:t>Följande fridlysta arter har sina livsmiljöer och växtplatser i den avverkningsanmälda skogen: doftticka (VU, §8) och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49938-2021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7022532, E 627193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