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3325-2025 i Sollefteå kommun</w:t>
      </w:r>
    </w:p>
    <w:p>
      <w:r>
        <w:t>Detta dokument behandlar höga naturvärden i avverkningsanmälan A 3325-2025 i Sollefteå kommun. Denna avverkningsanmälan inkom 2025-01-22 och omfattar 9,3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blackticka (VU), rynkskinn (VU), harticka (NT), Leptoporus mollis (NT), lunglav (NT), rosenticka (NT), talltita (NT, §4), ullticka (NT), bårdlav (S), stuplav (S)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840823"/>
            <wp:docPr id="1" name="Picture 1"/>
            <wp:cNvGraphicFramePr>
              <a:graphicFrameLocks noChangeAspect="1"/>
            </wp:cNvGraphicFramePr>
            <a:graphic>
              <a:graphicData uri="http://schemas.openxmlformats.org/drawingml/2006/picture">
                <pic:pic>
                  <pic:nvPicPr>
                    <pic:cNvPr id="0" name="A 3325-2025 karta.png"/>
                    <pic:cNvPicPr/>
                  </pic:nvPicPr>
                  <pic:blipFill>
                    <a:blip r:embed="rId16"/>
                    <a:stretch>
                      <a:fillRect/>
                    </a:stretch>
                  </pic:blipFill>
                  <pic:spPr>
                    <a:xfrm>
                      <a:off x="0" y="0"/>
                      <a:ext cx="5486400" cy="284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7030259, E 597169 i SWEREF 99 TM.</w:t>
      </w:r>
    </w:p>
    <w:p>
      <w:r>
        <w:rPr>
          <w:b/>
        </w:rPr>
        <w:t>Blackticka (VU)</w:t>
      </w:r>
      <w:r>
        <w:t>, rödlistad som sårbar, är en exklusiv svamp som signalerar fuktiga granskogar med mycket höga naturvärden. Den har klassificerats som en “urskogsindikator” och påträffas nästan enbart i urskogsartade barrnaturskogar med långvarig kontinuitet av grova lågor i olika nedbrytningsstadier. Skogsskötselåtgärder på eller i omedelbar närhet av lokalerna utgör ett hot och på lång sikt innebär fragmenteringen av skogslandskapet att artens förekomster isoleras vilket i sig utgör ett hot mot artens överlevnad. Fler skogar med blackticka måste skyddas (Nitare &amp; Skogsstyrelsen, 2019;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