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4501-2023 i Sollefteå kommun</w:t>
      </w:r>
    </w:p>
    <w:p>
      <w:r>
        <w:t>Detta dokument behandlar höga naturvärden i avverkningsanmälan A 4501-2023 i Sollefteå kommun. Denna avverkningsanmälan inkom 2023-01-26 00:00:00 och omfattar 5,4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9 naturvårdsarter hittats: knärot (VU, §8), garnlav (NT), lunglav (NT), rosenticka (NT), talltita (NT, §4), ullticka (NT), korallblylav (S), plattlummer (S, §9) och revlummer (§9).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18757"/>
            <wp:docPr id="1" name="Picture 1"/>
            <wp:cNvGraphicFramePr>
              <a:graphicFrameLocks noChangeAspect="1"/>
            </wp:cNvGraphicFramePr>
            <a:graphic>
              <a:graphicData uri="http://schemas.openxmlformats.org/drawingml/2006/picture">
                <pic:pic>
                  <pic:nvPicPr>
                    <pic:cNvPr id="0" name="A 4501-2023 karta.png"/>
                    <pic:cNvPicPr/>
                  </pic:nvPicPr>
                  <pic:blipFill>
                    <a:blip r:embed="rId16"/>
                    <a:stretch>
                      <a:fillRect/>
                    </a:stretch>
                  </pic:blipFill>
                  <pic:spPr>
                    <a:xfrm>
                      <a:off x="0" y="0"/>
                      <a:ext cx="5486400" cy="401875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7014835, E 585195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Fridlysta arter</w:t>
      </w:r>
    </w:p>
    <w:p>
      <w:r>
        <w:t>Följande fridlysta arter har sina livsmiljöer och växtplatser i den avverkningsanmälda skogen: knärot (VU, §8), talltita (NT, §4), plattlummer (S, §9)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7 fyndplatser för knärot registrerade på Artportalen. Figur 2 visar gränserna för buffertzoner på 50 m, som behöver lämnas kring fyndplatserna för att knärotslokalerna inte ska försvinna vid en avverkning. Av det avverkningsanmälda området överlappar 2.86 ha med buffertzonerna och får av detta skäl inte avverkas.</w:t>
      </w:r>
    </w:p>
    <w:p>
      <w:pPr>
        <w:pStyle w:val="Caption"/>
      </w:pPr>
      <w:r>
        <w:drawing>
          <wp:inline xmlns:a="http://schemas.openxmlformats.org/drawingml/2006/main" xmlns:pic="http://schemas.openxmlformats.org/drawingml/2006/picture">
            <wp:extent cx="5486400" cy="4665772"/>
            <wp:docPr id="2" name="Picture 2"/>
            <wp:cNvGraphicFramePr>
              <a:graphicFrameLocks noChangeAspect="1"/>
            </wp:cNvGraphicFramePr>
            <a:graphic>
              <a:graphicData uri="http://schemas.openxmlformats.org/drawingml/2006/picture">
                <pic:pic>
                  <pic:nvPicPr>
                    <pic:cNvPr id="0" name="A 4501-2023 karta knärot.png"/>
                    <pic:cNvPicPr/>
                  </pic:nvPicPr>
                  <pic:blipFill>
                    <a:blip r:embed="rId17"/>
                    <a:stretch>
                      <a:fillRect/>
                    </a:stretch>
                  </pic:blipFill>
                  <pic:spPr>
                    <a:xfrm>
                      <a:off x="0" y="0"/>
                      <a:ext cx="5486400" cy="466577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7014835, E 585195 i SWEREF 99 TM.</w:t>
      </w:r>
    </w:p>
    <w:p>
      <w:pPr>
        <w:pStyle w:val="Caption"/>
      </w:pP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(VU, §8) och mellanlummer (VU, §9), vilka båda omfattas av EU:s art- och habitatdirektiv. Plattlummer är typisk art för </w:t>
      </w:r>
      <w:r>
        <w:rPr>
          <w:i/>
        </w:rPr>
        <w:t xml:space="preserve">9010 Taiga </w:t>
      </w:r>
      <w:r>
        <w:t>och</w:t>
      </w:r>
      <w:r>
        <w:rPr>
          <w:i/>
        </w:rPr>
        <w:t xml:space="preserve"> 2320 Rissandhedar </w:t>
      </w:r>
      <w:r>
        <w:t>(Nitare &amp; Skogsstyrelsen, 2019; SLU Artdatabanken, 2025).</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2026-05-19</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