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4501-2023 i Sollefteå kommun</w:t>
      </w:r>
    </w:p>
    <w:p>
      <w:r>
        <w:t>Detta dokument behandlar höga naturvärden i avverkningsanmälan A 4501-2023 i Sollefteå kommun. Denna avverkningsanmälan inkom 2023-01-26 00:00:00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garnlav (NT), lunglav (NT), rosenticka (NT), talltita (NT, §4), ullticka (NT), korallblylav (S), plattlummer (S, §9)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8757"/>
            <wp:docPr id="1" name="Picture 1"/>
            <wp:cNvGraphicFramePr>
              <a:graphicFrameLocks noChangeAspect="1"/>
            </wp:cNvGraphicFramePr>
            <a:graphic>
              <a:graphicData uri="http://schemas.openxmlformats.org/drawingml/2006/picture">
                <pic:pic>
                  <pic:nvPicPr>
                    <pic:cNvPr id="0" name="A 4501-2023 karta.png"/>
                    <pic:cNvPicPr/>
                  </pic:nvPicPr>
                  <pic:blipFill>
                    <a:blip r:embed="rId16"/>
                    <a:stretch>
                      <a:fillRect/>
                    </a:stretch>
                  </pic:blipFill>
                  <pic:spPr>
                    <a:xfrm>
                      <a:off x="0" y="0"/>
                      <a:ext cx="5486400" cy="4018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7014835, E 585195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talltita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2.86 ha med buffertzonerna och får av detta skäl inte avverkas.</w:t>
      </w:r>
    </w:p>
    <w:p>
      <w:pPr>
        <w:pStyle w:val="Caption"/>
      </w:pPr>
      <w:r>
        <w:drawing>
          <wp:inline xmlns:a="http://schemas.openxmlformats.org/drawingml/2006/main" xmlns:pic="http://schemas.openxmlformats.org/drawingml/2006/picture">
            <wp:extent cx="5486400" cy="4665772"/>
            <wp:docPr id="2" name="Picture 2"/>
            <wp:cNvGraphicFramePr>
              <a:graphicFrameLocks noChangeAspect="1"/>
            </wp:cNvGraphicFramePr>
            <a:graphic>
              <a:graphicData uri="http://schemas.openxmlformats.org/drawingml/2006/picture">
                <pic:pic>
                  <pic:nvPicPr>
                    <pic:cNvPr id="0" name="A 4501-2023 karta knärot.png"/>
                    <pic:cNvPicPr/>
                  </pic:nvPicPr>
                  <pic:blipFill>
                    <a:blip r:embed="rId17"/>
                    <a:stretch>
                      <a:fillRect/>
                    </a:stretch>
                  </pic:blipFill>
                  <pic:spPr>
                    <a:xfrm>
                      <a:off x="0" y="0"/>
                      <a:ext cx="5486400" cy="46657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7014835, E 585195 i SWEREF 99 TM.</w:t>
      </w:r>
    </w:p>
    <w:p>
      <w:pPr>
        <w:pStyle w:val="Caption"/>
      </w:pP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