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11014-2026 i Sollefteå kommun</w:t>
      </w:r>
    </w:p>
    <w:p>
      <w:r>
        <w:t>Denna tillsynsbegäran behandlar höga naturvärden i avverkningsanmälan A 11014-2026 i Sollefteå kommun som inkom 2026-02-26 och omfattar 8,2 ha.</w:t>
      </w:r>
    </w:p>
    <w:p>
      <w:pPr>
        <w:pStyle w:val="Caption"/>
      </w:pPr>
      <w:r>
        <w:drawing>
          <wp:inline xmlns:a="http://schemas.openxmlformats.org/drawingml/2006/main" xmlns:pic="http://schemas.openxmlformats.org/drawingml/2006/picture">
            <wp:extent cx="4352994" cy="5724000"/>
            <wp:docPr id="1" name="Picture 1"/>
            <wp:cNvGraphicFramePr>
              <a:graphicFrameLocks noChangeAspect="1"/>
            </wp:cNvGraphicFramePr>
            <a:graphic>
              <a:graphicData uri="http://schemas.openxmlformats.org/drawingml/2006/picture">
                <pic:pic>
                  <pic:nvPicPr>
                    <pic:cNvPr id="0" name="A 11014-2026 karta.png"/>
                    <pic:cNvPicPr/>
                  </pic:nvPicPr>
                  <pic:blipFill>
                    <a:blip r:embed="rId16"/>
                    <a:stretch>
                      <a:fillRect/>
                    </a:stretch>
                  </pic:blipFill>
                  <pic:spPr>
                    <a:xfrm>
                      <a:off x="0" y="0"/>
                      <a:ext cx="435299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7041757, E 551470 i SWEREF 99 TM.</w:t>
      </w:r>
    </w:p>
    <w:p>
      <w:r>
        <w:t>I avverkningsanmälan finns fynd av 2 naturvårdsarter, varav 2 är typiska (T): kärrfibbla (T) och nordisk stormhatt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Kärrfibbla</w:t>
      </w:r>
      <w:r>
        <w:t xml:space="preserve"> är typisk art för </w:t>
      </w:r>
      <w:r>
        <w:rPr>
          <w:i/>
        </w:rPr>
        <w:t xml:space="preserve">9050 Näringsrik granskog, 9080 Lövsumpskog </w:t>
      </w:r>
      <w:r>
        <w:t>och</w:t>
      </w:r>
      <w:r>
        <w:rPr>
          <w:i/>
        </w:rPr>
        <w:t xml:space="preserve"> 9040 Fjällbjörkskog </w:t>
      </w:r>
      <w:r>
        <w:t>(SLU Artdatabanken, 2025).</w:t>
      </w:r>
    </w:p>
    <w:p>
      <w:r>
        <w:rPr>
          <w:b/>
        </w:rPr>
        <w:t>Nordisk stormhatt</w:t>
      </w:r>
      <w:r>
        <w:t xml:space="preserve"> är typisk art för </w:t>
      </w:r>
      <w:r>
        <w:rPr>
          <w:i/>
        </w:rPr>
        <w:t xml:space="preserve">9050 Näringsrik granskog, 9040 Fjällbjörkskog </w:t>
      </w:r>
      <w:r>
        <w:t xml:space="preserve">och </w:t>
      </w:r>
      <w:r>
        <w:rPr>
          <w:i/>
        </w:rPr>
        <w:t>6430 Högörtängar</w:t>
      </w:r>
      <w:r>
        <w:t>. Stormhattsrotvecklare (NT) samt stormhattshumla, som är rödlistad som nära hotad (NT) på den europeiska rödlistan, är knuten till nordisk stormhatt</w:t>
      </w:r>
      <w:r>
        <w:rPr>
          <w:i/>
        </w:rPr>
        <w:t xml:space="preserve"> </w:t>
      </w:r>
      <w:r>
        <w:t>(SLU Artdatabanken, 2026; IUCN,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