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37489-2025 i Sollefteå kommun</w:t>
      </w:r>
    </w:p>
    <w:p>
      <w:r>
        <w:t>Detta klagomål behandlar höga naturvärden i avverkningsanmälan A 37489-2025 i Sollefteå kommun som inkom 2025-08-08 och omfattar 2,2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37489-2025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7031911, E 592649 i SWEREF 99 TM.</w:t>
      </w:r>
    </w:p>
    <w:p>
      <w:r>
        <w:t>I och inom 2 meter från avverkningsanmälan finns fynd av 20 naturvårdsarter, varav 17 är rödlistade, 5 är fridlysta, 16 är typiska (T) och 2 är signalarter (S): doftticka (VU, T, §8), garnlav (VU, T), gräddporing (VU, T), knärot (VU, T, §8), aspbarkgnagare (NT), brunpudrad nållav (NT, T), doftskinn (NT, T), dvärgbägarlav (NT, T), gammelgransskål (NT, T), kolflarnlav (NT, T), lunglav (NT, T), nordtagging (NT), talltagel (NT, T), talltita (NT, §4), tretåig hackspett (NT, T, §4), ullticka (NT, T), vitgrynig nållav (NT), norrlandslav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4323132"/>
            <wp:docPr id="2" name="Picture 2"/>
            <wp:cNvGraphicFramePr>
              <a:graphicFrameLocks noChangeAspect="1"/>
            </wp:cNvGraphicFramePr>
            <a:graphic>
              <a:graphicData uri="http://schemas.openxmlformats.org/drawingml/2006/picture">
                <pic:pic>
                  <pic:nvPicPr>
                    <pic:cNvPr id="0" name="A 37489-2025 karta knärot.png"/>
                    <pic:cNvPicPr/>
                  </pic:nvPicPr>
                  <pic:blipFill>
                    <a:blip r:embed="rId17"/>
                    <a:stretch>
                      <a:fillRect/>
                    </a:stretch>
                  </pic:blipFill>
                  <pic:spPr>
                    <a:xfrm>
                      <a:off x="0" y="0"/>
                      <a:ext cx="5486400" cy="43231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7031911, E 592649 i SWEREF 99 TM.</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pPr>
        <w:pStyle w:val="Heading2"/>
      </w:pPr>
      <w:r>
        <w:t>Referenser – aspbarkgnagare</w:t>
      </w:r>
    </w:p>
    <w:p>
      <w:r>
        <w:t xml:space="preserve">IUCN, 2025. </w:t>
      </w:r>
      <w:r>
        <w:rPr>
          <w:i/>
        </w:rPr>
        <w:t>Xyletinus tremulicola</w:t>
      </w:r>
      <w:r>
        <w:t>. The IUCN Red List of Threatened Species.</w:t>
      </w:r>
    </w:p>
    <w:p>
      <w:r>
        <w:t xml:space="preserve">SLU Artdatabanken, 2026. </w:t>
      </w:r>
      <w:r>
        <w:rPr>
          <w:i/>
        </w:rPr>
        <w:t xml:space="preserve">Artfaktablad. Naturvård – artfakta. </w:t>
      </w:r>
      <w:r>
        <w:t>SLU Artdatabanken, Uppsala</w:t>
      </w:r>
    </w:p>
    <w:p>
      <w:r>
        <w:t xml:space="preserve">Wikars, L-O. &amp; Hedenås, H., 2010. </w:t>
      </w:r>
      <w:r>
        <w:rPr>
          <w:i/>
        </w:rPr>
        <w:t>Åtgärdsprogram för hotade arter på asp i Norrland 2010–2014</w:t>
      </w:r>
      <w:r>
        <w:t>. Rapport 6393. Juni 2010</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