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3157-2023 i Sollefteå kommun</w:t>
      </w:r>
    </w:p>
    <w:p>
      <w:r>
        <w:t>Denna tillsynsbegäran behandlar höga naturvärden i samrådsanmälan S 3157-2023 i Sollefteå kommun som inkom 2023-09-15 och omfattar 7,5 ha.</w:t>
      </w:r>
    </w:p>
    <w:p>
      <w:pPr>
        <w:pStyle w:val="Caption"/>
      </w:pPr>
      <w:r>
        <w:drawing>
          <wp:inline xmlns:a="http://schemas.openxmlformats.org/drawingml/2006/main" xmlns:pic="http://schemas.openxmlformats.org/drawingml/2006/picture">
            <wp:extent cx="5486400" cy="4352624"/>
            <wp:docPr id="1" name="Picture 1"/>
            <wp:cNvGraphicFramePr>
              <a:graphicFrameLocks noChangeAspect="1"/>
            </wp:cNvGraphicFramePr>
            <a:graphic>
              <a:graphicData uri="http://schemas.openxmlformats.org/drawingml/2006/picture">
                <pic:pic>
                  <pic:nvPicPr>
                    <pic:cNvPr id="0" name="S 3157-2023 karta.png"/>
                    <pic:cNvPicPr/>
                  </pic:nvPicPr>
                  <pic:blipFill>
                    <a:blip r:embed="rId16"/>
                    <a:stretch>
                      <a:fillRect/>
                    </a:stretch>
                  </pic:blipFill>
                  <pic:spPr>
                    <a:xfrm>
                      <a:off x="0" y="0"/>
                      <a:ext cx="5486400" cy="4352624"/>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7054573, E 583791 i SWEREF 99 TM.</w:t>
      </w:r>
    </w:p>
    <w:p>
      <w:r>
        <w:t>I och inom 23 meter från samrådsanmälan finns fynd av 10 naturvårdsarter, varav 7 är rödlistade, 4 är fridlysta, 8 är typiska (T) och 2 är signalarter (S): garnlav (VU, T), knärot (VU, T, §8), lunglavsknapp (VU), lunglav (NT, T), talltita (NT, §4), tretåig hackspett (NT, T, §4), ullticka (NT, T), bollvitmossa (S, T), trådticka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7 fyndplatser för knärot registrerade på Artportalen. Figur 2 visar gränserna för buffertzoner på 50 m, som behöver lämnas kring fyndplatserna för att knärotslokalerna inte ska försvinna vid en avverkning. Av det samrådsanmälda området överlappar 2.69 ha med buffertzonerna och får av detta skäl inte avverkas.</w:t>
      </w:r>
    </w:p>
    <w:p>
      <w:pPr>
        <w:pStyle w:val="Caption"/>
      </w:pPr>
      <w:r>
        <w:drawing>
          <wp:inline xmlns:a="http://schemas.openxmlformats.org/drawingml/2006/main" xmlns:pic="http://schemas.openxmlformats.org/drawingml/2006/picture">
            <wp:extent cx="5486400" cy="5488286"/>
            <wp:docPr id="2" name="Picture 2"/>
            <wp:cNvGraphicFramePr>
              <a:graphicFrameLocks noChangeAspect="1"/>
            </wp:cNvGraphicFramePr>
            <a:graphic>
              <a:graphicData uri="http://schemas.openxmlformats.org/drawingml/2006/picture">
                <pic:pic>
                  <pic:nvPicPr>
                    <pic:cNvPr id="0" name="S 3157-2023 karta knärot.png"/>
                    <pic:cNvPicPr/>
                  </pic:nvPicPr>
                  <pic:blipFill>
                    <a:blip r:embed="rId17"/>
                    <a:stretch>
                      <a:fillRect/>
                    </a:stretch>
                  </pic:blipFill>
                  <pic:spPr>
                    <a:xfrm>
                      <a:off x="0" y="0"/>
                      <a:ext cx="5486400" cy="548828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7054573, E 583791 i SWEREF 99 TM.</w:t>
      </w:r>
    </w:p>
    <w:p>
      <w:r>
        <w:rPr>
          <w:b/>
        </w:rPr>
        <w:t>Lunglavsknapp (VU)</w:t>
      </w:r>
      <w:r>
        <w:t xml:space="preserve"> är en parasitisk svamp som sällsynt kan hittas på lunglav (NT). Lunglavsknapp är känslig för uttorkning och det är viktigt att spara skyddszoner kring bestånd där arten förekommer. Genom att skydda och utveckla skogsmiljöer med lunglavsknapp så gynnas också den rödlistade värden lunglav. Bestånd med riklig förekomst av lunglavsknapp bör få ett formellt skydd. Det finns ytterligare ett antal sällsynta lavparasiter som växer på lunglav: lunglavshårprick (CR), </w:t>
      </w:r>
      <w:r>
        <w:rPr>
          <w:i/>
        </w:rPr>
        <w:t>Abrothallus diederichii</w:t>
      </w:r>
      <w:r>
        <w:t xml:space="preserve"> (VU), </w:t>
      </w:r>
      <w:r>
        <w:rPr>
          <w:i/>
        </w:rPr>
        <w:t>Abrothallus lobariae</w:t>
      </w:r>
      <w:r>
        <w:t xml:space="preserve"> (VU), </w:t>
      </w:r>
      <w:r>
        <w:rPr>
          <w:i/>
        </w:rPr>
        <w:t>Calycina lobariae</w:t>
      </w:r>
      <w:r>
        <w:t xml:space="preserve"> (VU) och skrovelmössing (VU)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lunglav (NT, T), tretåig hackspett (NT, T, §4), ullticka (NT, T), bollvitmossa (S, T), trådticka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