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11132-2025 i Sollefteå kommun</w:t>
      </w:r>
    </w:p>
    <w:p>
      <w:r>
        <w:t>Detta dokument behandlar höga naturvärden i avverkningsanmälan A 11132-2025 i Sollefteå kommun. Denna avverkningsanmälan inkom 2025-03-07 15:35:03 och omfattar 18,2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gropig brunbagge (NT), mörk kolflarnlav (NT), Olisthaerus substriatus (NT), rosenticka (NT), ullticka (NT), vedskivlav (NT) och vanlig padda (§6).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5440"/>
            <wp:docPr id="1" name="Picture 1"/>
            <wp:cNvGraphicFramePr>
              <a:graphicFrameLocks noChangeAspect="1"/>
            </wp:cNvGraphicFramePr>
            <a:graphic>
              <a:graphicData uri="http://schemas.openxmlformats.org/drawingml/2006/picture">
                <pic:pic>
                  <pic:nvPicPr>
                    <pic:cNvPr id="0" name="A 11132-2025 karta.png"/>
                    <pic:cNvPicPr/>
                  </pic:nvPicPr>
                  <pic:blipFill>
                    <a:blip r:embed="rId16"/>
                    <a:stretch>
                      <a:fillRect/>
                    </a:stretch>
                  </pic:blipFill>
                  <pic:spPr>
                    <a:xfrm>
                      <a:off x="0" y="0"/>
                      <a:ext cx="5486400" cy="6225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7000239, E 603580 i SWEREF 99 TM.</w:t>
      </w:r>
    </w:p>
    <w:p>
      <w:r>
        <w:rPr>
          <w:b/>
        </w:rPr>
        <w:t>Gropig brunbagge (NT)</w:t>
      </w:r>
      <w:r>
        <w:t xml:space="preserve"> är en skalbagge vars larvutveckling sker i mycel av violticka (</w:t>
      </w:r>
      <w:r>
        <w:rPr>
          <w:i/>
        </w:rPr>
        <w:t>Trichaptum abietinum</w:t>
      </w:r>
      <w:r>
        <w:t xml:space="preserve">) under barken på döda, stående eller liggande granar och tallar. Larven lever av svampens mycel mellan bark och ved, någon gång även ytligt i veden. Förekommer främst i äldre bestånd med rik förekomst av lågor. Den fullbildade skalbaggen påträffas lättast från hösten till försommaren i puppkammaren. Den hotas av slutavverkningar och även gallring av för arten lämplig skog. Skogsbestånd med riklig förekomst av grova lågor med violticka bör om möjligt lämnas orörda (till båtnad för såväl denna art som bland andra gulbandad brunbagge </w:t>
      </w:r>
      <w:r>
        <w:rPr>
          <w:i/>
        </w:rPr>
        <w:t xml:space="preserve">Orchesia fasciata </w:t>
      </w:r>
      <w:r>
        <w:t xml:space="preserve">(NT), brunkantad brunbagge </w:t>
      </w:r>
      <w:r>
        <w:rPr>
          <w:i/>
        </w:rPr>
        <w:t xml:space="preserve">Dolotarsus lividus </w:t>
      </w:r>
      <w:r>
        <w:t>(RE)</w:t>
      </w:r>
      <w:r>
        <w:rPr>
          <w:i/>
        </w:rPr>
        <w:t xml:space="preserve"> </w:t>
      </w:r>
      <w:r>
        <w:t xml:space="preserve">och trefläckig brunbagge </w:t>
      </w:r>
      <w:r>
        <w:rPr>
          <w:i/>
        </w:rPr>
        <w:t>Wanachia triguttata</w:t>
      </w:r>
      <w:r>
        <w:t>)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i/>
        </w:rPr>
        <w:t>Olisthaerus substriatus</w:t>
      </w:r>
      <w:r>
        <w:rPr>
          <w:b/>
        </w:rPr>
        <w:t xml:space="preserve"> (NT) </w:t>
      </w:r>
      <w:r>
        <w:t xml:space="preserve">är en kortvinge som lever under barken på lågor och högstubbar av i första hand döda granar, men kan även påträffas på tall och björk. Arten föredrar beskuggade lågor med fuktig bark inne i ganska täta bestånd och dyker först upp på träd som varit döda ett par år, men stannar sedan under cirka ett decennium i samma träd. Larverna påträffas ofta tillsammans med de fullbildade skalbaggarna som kan påträffas under en stor del av året. Den skiljs från den närbesläktade </w:t>
      </w:r>
      <w:r>
        <w:rPr>
          <w:i/>
        </w:rPr>
        <w:t>Olisthaerus megacephalus,</w:t>
      </w:r>
      <w:r>
        <w:t xml:space="preserve"> som den annars liknar, på att huvudet är tydligt smalare än halsskölden och att ögonen är tydligt utstående. Arten hotas starkt av bristen på döda, grova granar i den brukade skogen. Den är redan nu nästan helt tillbakaträngd till rena naturskogsbestånd. Det största hotet är avverkning av tallbestånd med äldre grova granar. Kvarvarande naturskogsbestånd med framför allt gran inom artens nuvarande utbredningsområde behöver bevaras. Vindfällen av grova granar bör sparas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vanlig padda (§6).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2.81 ha med buffertzonerna och får av detta skäl inte avverkas.</w:t>
      </w:r>
    </w:p>
    <w:p>
      <w:pPr>
        <w:pStyle w:val="Caption"/>
      </w:pPr>
      <w:r>
        <w:drawing>
          <wp:inline xmlns:a="http://schemas.openxmlformats.org/drawingml/2006/main" xmlns:pic="http://schemas.openxmlformats.org/drawingml/2006/picture">
            <wp:extent cx="5486400" cy="8496355"/>
            <wp:docPr id="2" name="Picture 2"/>
            <wp:cNvGraphicFramePr>
              <a:graphicFrameLocks noChangeAspect="1"/>
            </wp:cNvGraphicFramePr>
            <a:graphic>
              <a:graphicData uri="http://schemas.openxmlformats.org/drawingml/2006/picture">
                <pic:pic>
                  <pic:nvPicPr>
                    <pic:cNvPr id="0" name="A 11132-2025 karta knärot.png"/>
                    <pic:cNvPicPr/>
                  </pic:nvPicPr>
                  <pic:blipFill>
                    <a:blip r:embed="rId17"/>
                    <a:stretch>
                      <a:fillRect/>
                    </a:stretch>
                  </pic:blipFill>
                  <pic:spPr>
                    <a:xfrm>
                      <a:off x="0" y="0"/>
                      <a:ext cx="5486400" cy="84963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7000239, E 603580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