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28059-2025 i Sollefteå kommun</w:t>
      </w:r>
    </w:p>
    <w:p>
      <w:r>
        <w:t>Detta dokument behandlar höga naturvärden i avverkningsanmälan A 28059-2025 i Sollefteå kommun. Denna avverkningsanmälan inkom 2025-06-09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lappticka (VU), rynkskinn (VU), hornvaxskinn (NT), järpe (NT, §4), lunglav (NT), rosenticka (NT), spillkråka (NT, §4), spinnfingersvamp (NT), ullticka (NT), bronshjon (S), luddlav (S), norrlandslav (S), stuplav (S), vedticka (S), vågbandad barkbock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28059-2025 karta.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7027688, E 600880 i SWEREF 99 TM.</w:t>
      </w:r>
    </w:p>
    <w:p>
      <w:r>
        <w:rPr>
          <w:b/>
        </w:rPr>
        <w:t xml:space="preserve">Hornvaxskinn (NT) </w:t>
      </w:r>
      <w:r>
        <w:t>påträffas på gamla senvuxna, torra och hårda lågor i gamla naturskogsartade eller plockhuggna tallskogar i norra Sverige. Arten hotas av avverkning av naturskogsartade tallskogar och uttag av torrakor till timring av byggnader. Avverkning av naturskogsliknande tallskogar bör ej förekomma (SLU Artdatabanken, 2024).</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240926"/>
            <wp:docPr id="2" name="Picture 2"/>
            <wp:cNvGraphicFramePr>
              <a:graphicFrameLocks noChangeAspect="1"/>
            </wp:cNvGraphicFramePr>
            <a:graphic>
              <a:graphicData uri="http://schemas.openxmlformats.org/drawingml/2006/picture">
                <pic:pic>
                  <pic:nvPicPr>
                    <pic:cNvPr id="0" name="A 28059-2025 karta knärot.png"/>
                    <pic:cNvPicPr/>
                  </pic:nvPicPr>
                  <pic:blipFill>
                    <a:blip r:embed="rId17"/>
                    <a:stretch>
                      <a:fillRect/>
                    </a:stretch>
                  </pic:blipFill>
                  <pic:spPr>
                    <a:xfrm>
                      <a:off x="0" y="0"/>
                      <a:ext cx="5486400" cy="62409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7027688, E 600880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