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35406-2024 i Sollefteå kommun</w:t>
      </w:r>
    </w:p>
    <w:p>
      <w:r>
        <w:t>Detta dokument behandlar höga naturvärden i avverkningsanmälan A 35406-2024 i Sollefteå kommun. Denna avverkningsanmälan inkom 2024-08-27 09:44:45 och omfattar 3,5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6 naturvårdsarter hittats: blå taggsvamp (NT), kolflarnlav (NT), orange taggsvamp (NT), skrovlig taggsvamp (NT), dropptaggsvamp (S) och skarp dropptaggsvamp (S). Av dessa är 4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54643"/>
            <wp:docPr id="1" name="Picture 1"/>
            <wp:cNvGraphicFramePr>
              <a:graphicFrameLocks noChangeAspect="1"/>
            </wp:cNvGraphicFramePr>
            <a:graphic>
              <a:graphicData uri="http://schemas.openxmlformats.org/drawingml/2006/picture">
                <pic:pic>
                  <pic:nvPicPr>
                    <pic:cNvPr id="0" name="A 35406-2024 karta.png"/>
                    <pic:cNvPicPr/>
                  </pic:nvPicPr>
                  <pic:blipFill>
                    <a:blip r:embed="rId16"/>
                    <a:stretch>
                      <a:fillRect/>
                    </a:stretch>
                  </pic:blipFill>
                  <pic:spPr>
                    <a:xfrm>
                      <a:off x="0" y="0"/>
                      <a:ext cx="5486400" cy="46546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7059973, E 581396 i SWEREF 99 TM.</w:t>
      </w:r>
    </w:p>
    <w:p>
      <w:r>
        <w:rPr>
          <w:b/>
        </w:rPr>
        <w:t xml:space="preserve">Blå taggsvamp (NT) </w:t>
      </w:r>
      <w:r>
        <w:t>är en karaktärsart i såväl örtrika kalkbarrskogar som i torra sandtallskogar där det föreligger gammal skog med långvarig trädkontinuitet. Är sällsynt och mycket kravfull i södra och mellersta Sverige. Den hotas främst av skogsavverkning och tycks försvinna efter slutavverkning, markberedning och plantering. I kalkgranskogar verkar arten vara mycket känslig. Granskogar med arten bör formellt skydddas (SLU Artdatabanken, 2024; Nitare &amp; Skogsstyrelsen, 2019).</w:t>
      </w:r>
    </w:p>
    <w:p>
      <w:r>
        <w:rPr>
          <w:b/>
        </w:rPr>
        <w:t>Kolflarnlav (NT)</w:t>
      </w:r>
      <w:r>
        <w:t xml:space="preserve"> är brandberoende och växer nästan uteslutande på kolad hård kärnved av tall. Etableringen verkar ske först 100–300 år efter brand och nytt substrat nybildas i mycket begränsad omfattning. Avverkning av tallskog av naturskogskaraktär med spår av återkommande bränder är ett hot och mängden lämplig ved att växa på för arten minskar dels på grund av naturlig nedbrytning men framförallt på grund av att det förstörs i samband med slutavverkningar, gallringar och markberedning. Såväl kolflarnlav som mörk kolflarnlav har glänsande bålfjäll och förekommer främst i tall- och blandbarrskogar av naturskogskaraktär med spår av återkommande bränder. Skogar som dessa hyser höga biologiska värden och bör skyddas (SLU Artdatabanken, 2024).</w:t>
      </w:r>
    </w:p>
    <w:p>
      <w:r>
        <w:rPr>
          <w:b/>
        </w:rPr>
        <w:t xml:space="preserve">Orange taggsvamp (NT) </w:t>
      </w:r>
      <w:r>
        <w:t>bildar mykorrhiza med både gran och tall och den förekommer främst i äldre barrskogar med kontinuitetsskogskaraktär. Mest frekvent är den i äldre mossrik granskog, men då bara i skogar inom granens naturliga utbredningsområde och i bestånd med långvarig grankontinuitet. Den totala populationen i landet bedöms ha minskat kraftigt och fortsatt kommer att minska då arten är knuten till en produktiv skogsmiljö som successivt avverkas. Arten hotas främst av skogsavverkning och tycks försvinna efter slutavverkning, markberedning och plantering och det är inte känt att arten har återkommit i anlagd skog på tidigare kalmark (SLU Artdatabanken, 2024).</w:t>
      </w:r>
    </w:p>
    <w:p>
      <w:r>
        <w:rPr>
          <w:b/>
        </w:rPr>
        <w:t xml:space="preserve">Skrovlig taggsvamp (NT) </w:t>
      </w:r>
      <w:r>
        <w:t>bildar mykorrhiza med tall i äldre tallskog, framför allt på tallhed. Den växer huvudsakligen i äldre barrskog som hotas av slutavverkning. Genom att äldre barrskogar och naturskogar blir allt sällsyntare, missgynnas arten av skogsbruk. Arten ingår i ett åtgärdsprogram för hotade arter (ÅGP) och en långsiktig tillgång till svampens värdträd behöver säkras genom att växtplatserna undantas från avverkning. Skrovlig taggsvamp är globalt rödlistad som nära hotad (NT) vilket innebär att Sverige har ett internationellt ansvar för arten (IUCN, 2025; SLU Artdatabanken, 2024; Nitare, 2006).</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6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