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37489-2025 i Sollefteå kommun</w:t>
      </w:r>
    </w:p>
    <w:p>
      <w:r>
        <w:t>Detta dokument behandlar höga naturvärden i avverkningsanmälan A 37489-2025 i Sollefteå kommun. Denna avverkningsanmälan inkom 2025-08-08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doftticka (VU, §8), gräddporing (VU), knärot (VU, §8), aspbarkgnagare (NT), brunpudrad nållav (NT), doftskinn (NT), dvärgbägarlav (NT), gammelgransskål (NT), garnlav (NT), granticka (NT), kolflarnlav (NT), lunglav (NT), nordtagging (NT), spillkråka (NT, §4), talltita (NT, §4), tretåig hackspett (NT, §4), ullticka (NT), vitgrynig nållav (NT) och vedticka (S).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6003"/>
            <wp:docPr id="1" name="Picture 1"/>
            <wp:cNvGraphicFramePr>
              <a:graphicFrameLocks noChangeAspect="1"/>
            </wp:cNvGraphicFramePr>
            <a:graphic>
              <a:graphicData uri="http://schemas.openxmlformats.org/drawingml/2006/picture">
                <pic:pic>
                  <pic:nvPicPr>
                    <pic:cNvPr id="0" name="A 37489-2025 karta.png"/>
                    <pic:cNvPicPr/>
                  </pic:nvPicPr>
                  <pic:blipFill>
                    <a:blip r:embed="rId16"/>
                    <a:stretch>
                      <a:fillRect/>
                    </a:stretch>
                  </pic:blipFill>
                  <pic:spPr>
                    <a:xfrm>
                      <a:off x="0" y="0"/>
                      <a:ext cx="5486400" cy="3376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7031911, E 592649 i SWEREF 99 TM.</w:t>
      </w:r>
    </w:p>
    <w:p>
      <w:r>
        <w:rPr>
          <w:b/>
        </w:rPr>
        <w:t>Aspbarkgnagare (NT)</w:t>
      </w:r>
      <w:r>
        <w:t xml:space="preserve"> är en globalt rödlistad art som omfattas av EU:s art- och habitatdirektiv och ingår i ett åtgärdsprogram (ÅGP) för hotade arter på asp i Norrland. Artens larvutveckling sker i solbelyst, skadad eller död bark av asp. Larver kan påträffas både på levande och på helt döda stammar. Ibland angrips även nedfallna döda, grova grenar. Larverna lever strax under den hårda ytterbarken och gnager otydliga gångar i den ganska luckra innerbarken. De påträffas ofta runt gamla stamskador där barken fått en mycket ojämn struktur – ofta påträffas även arter av barkborresläktet </w:t>
      </w:r>
      <w:r>
        <w:rPr>
          <w:i/>
        </w:rPr>
        <w:t xml:space="preserve">Trypophloeus </w:t>
      </w:r>
      <w:r>
        <w:t>på samma ställe (SLU Artdatabanken, 2024).</w:t>
      </w:r>
    </w:p>
    <w:p>
      <w:r>
        <w:t>Aspbarkgnagaren är listad i EU:s art- och habitatdirektiv (Rådets direktiv 92/43/EEG) och är därmed en s.k. Natura 2000-art. Det betyder att artens gynnsamma bevarandestatus ska bibehållas eller återställas. Tillräckligt många Natura 2000-områden skall pekas ut för arten, spridda över det ursprungliga utbredningsområdet, så att arten kan nå en utbredning och population som medger att den kan överleva långsiktigt. Arten hotas av att mängden äldre asprik skog minskat i skogslandskapet under det senaste seklet samt att aspskogar inte förnyas i tillräcklig grad (Naturvårdsverket, 2010). Röjning, gallring och avverkning av asp i de landskapsområden där arten fortfarande förekommer är ett direkt hot mot artens långsiktiga överlevnad.</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doftticka (VU, §8), knärot (VU, §8),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0.49 ha med buffertzonerna och får av detta skäl inte avverkas.</w:t>
      </w:r>
    </w:p>
    <w:p>
      <w:pPr>
        <w:pStyle w:val="Caption"/>
      </w:pPr>
      <w:r>
        <w:drawing>
          <wp:inline xmlns:a="http://schemas.openxmlformats.org/drawingml/2006/main" xmlns:pic="http://schemas.openxmlformats.org/drawingml/2006/picture">
            <wp:extent cx="5486400" cy="3906131"/>
            <wp:docPr id="2" name="Picture 2"/>
            <wp:cNvGraphicFramePr>
              <a:graphicFrameLocks noChangeAspect="1"/>
            </wp:cNvGraphicFramePr>
            <a:graphic>
              <a:graphicData uri="http://schemas.openxmlformats.org/drawingml/2006/picture">
                <pic:pic>
                  <pic:nvPicPr>
                    <pic:cNvPr id="0" name="A 37489-2025 karta knärot.png"/>
                    <pic:cNvPicPr/>
                  </pic:nvPicPr>
                  <pic:blipFill>
                    <a:blip r:embed="rId17"/>
                    <a:stretch>
                      <a:fillRect/>
                    </a:stretch>
                  </pic:blipFill>
                  <pic:spPr>
                    <a:xfrm>
                      <a:off x="0" y="0"/>
                      <a:ext cx="5486400" cy="39061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7031911, E 592649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Aspbarkgnagare – ekologi samt krav på livsmiljön</w:t>
      </w:r>
    </w:p>
    <w:p>
      <w:r>
        <w:t xml:space="preserve">Aspbarkgnagare (NT) är en globalt rödlistad art som omfattas av EU:s art- och habitatdirektiv och ingår i ett åtgärdsprogram (ÅGP) för hotade arter på asp i Norrland. Artens larvutveckling sker i solbelyst, skadad eller död bark av asp. Larver kan påträffas både på levande och på helt döda stammar. Ibland angrips även nedfallna döda, grova grenar. Larverna lever strax under den hårda ytterbarken och gnager otydliga gångar i den ganska luckra innerbarken. De påträffas ofta runt gamla stamskador där barken fått en mycket ojämn struktur – ofta påträffas även arter av barkborresläktet </w:t>
      </w:r>
      <w:r>
        <w:rPr>
          <w:i/>
        </w:rPr>
        <w:t xml:space="preserve">Trypophloeus </w:t>
      </w:r>
      <w:r>
        <w:t>på samma ställe (SLU Artdatabanken, 2024).</w:t>
      </w:r>
    </w:p>
    <w:p>
      <w:r>
        <w:t>Aspbarkgnagaren är listad i EU:s art- och habitatdirektiv (Rådets direktiv 92/43/EEG) och är därmed en s.k. Natura 2000-art. Det betyder att artens gynnsamma bevarandestatus ska bibehållas eller återställas. Tillräckligt många Natura 2000-områden skall pekas ut för arten, spridda över det ursprungliga utbredningsområdet, så att arten kan nå en utbredning och population som medger att den kan överleva långsiktigt. Arten hotas av att mängden äldre asprik skog minskat i skogslandskapet under det senaste seklet samt att aspskogar inte förnyas i tillräcklig grad (Naturvårdsverket, 2010). Röjning, gallring och avverkning av asp i de landskapsområden där arten fortfarande förekommer är ett direkt hot mot artens långsiktiga överlevnad.</w:t>
      </w:r>
    </w:p>
    <w:p>
      <w:pPr>
        <w:pStyle w:val="Heading2"/>
      </w:pPr>
      <w:r>
        <w:t>Referenser – aspbarkgnagare</w:t>
      </w:r>
    </w:p>
    <w:p>
      <w:r>
        <w:t xml:space="preserve">Naturvårdverket, 2010. </w:t>
      </w:r>
      <w:r>
        <w:rPr>
          <w:i/>
        </w:rPr>
        <w:t>Åtgärdsprogram för hotade arter på asp i Norrland 2010–2014</w:t>
      </w:r>
      <w:r>
        <w:t>. Rapport 6393. Juni 2010</w:t>
      </w:r>
    </w:p>
    <w:p>
      <w:r>
        <w:t xml:space="preserve">SLU Artdatabanken, 2024.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