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37489-2025 i Sollefteå kommun</w:t>
      </w:r>
    </w:p>
    <w:p>
      <w:r>
        <w:t>Detta dokument behandlar höga naturvärden i avverkningsanmälan A 37489-2025 i Sollefteå kommun. Denna avverkningsanmälan inkom 2025-08-08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gräddporing (VU), knärot (VU, §8), aspbarkgnagare (NT), brunpudrad nållav (NT), doftskinn (NT), dvärgbägarlav (NT), gammelgransskål (NT), garnlav (NT), granticka (NT), kolflarnlav (NT), lunglav (NT), nordtagging (NT), spillkråka (NT, §4), talltita (NT, §4), tretåig hackspett (NT, §4), ullticka (NT), vitgrynig nållav (NT)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7489-2025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7031911, E 592649 i SWEREF 99 TM.</w:t>
      </w:r>
    </w:p>
    <w:p>
      <w:r>
        <w:rPr>
          <w:b/>
        </w:rPr>
        <w:t>Aspbarkgnagare (NT)</w:t>
      </w:r>
      <w:r>
        <w:t xml:space="preserve">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06131"/>
            <wp:docPr id="2" name="Picture 2"/>
            <wp:cNvGraphicFramePr>
              <a:graphicFrameLocks noChangeAspect="1"/>
            </wp:cNvGraphicFramePr>
            <a:graphic>
              <a:graphicData uri="http://schemas.openxmlformats.org/drawingml/2006/picture">
                <pic:pic>
                  <pic:nvPicPr>
                    <pic:cNvPr id="0" name="A 37489-2025 karta knärot.png"/>
                    <pic:cNvPicPr/>
                  </pic:nvPicPr>
                  <pic:blipFill>
                    <a:blip r:embed="rId17"/>
                    <a:stretch>
                      <a:fillRect/>
                    </a:stretch>
                  </pic:blipFill>
                  <pic:spPr>
                    <a:xfrm>
                      <a:off x="0" y="0"/>
                      <a:ext cx="5486400" cy="3906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7031911, E 592649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Aspbarkgnagare – ekologi samt krav på livsmiljön</w:t>
      </w:r>
    </w:p>
    <w:p>
      <w:r>
        <w:t xml:space="preserve">Aspbarkgnagare (NT)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pPr>
        <w:pStyle w:val="Heading2"/>
      </w:pPr>
      <w:r>
        <w:t>Referenser – aspbarkgnagare</w:t>
      </w:r>
    </w:p>
    <w:p>
      <w:r>
        <w:t xml:space="preserve">Naturvårdverket, 2010. </w:t>
      </w:r>
      <w:r>
        <w:rPr>
          <w:i/>
        </w:rPr>
        <w:t>Åtgärdsprogram för hotade arter på asp i Norrland 2010–2014</w:t>
      </w:r>
      <w:r>
        <w:t>. Rapport 6393. Juni 2010</w:t>
      </w:r>
    </w:p>
    <w:p>
      <w:r>
        <w:t xml:space="preserve">SLU Artdatabanken, 2024.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