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Hanski, I. &amp; Ovaskainen, O., 2002</w:t>
      </w:r>
      <w:r>
        <w:rPr>
          <w:i/>
        </w:rPr>
        <w:t>. Extinction Debt at Extinction Threshold</w:t>
      </w:r>
      <w:r>
        <w:t>. Conservation Biology.</w:t>
      </w:r>
    </w:p>
    <w:p>
      <w:r>
        <w:t xml:space="preserve">Naturvårdsverket, 2019. </w:t>
      </w:r>
      <w:r>
        <w:rPr>
          <w:i/>
        </w:rPr>
        <w:t xml:space="preserve">Uppdaterad åtgärdstabell 2019–2028 för Åtgärdsprogram för större barkplattbagge Pytho kolwensis. </w:t>
      </w:r>
      <w:r>
        <w:t>Naturvårdsverket</w:t>
      </w:r>
    </w:p>
    <w:p>
      <w:r>
        <w:t xml:space="preserve">Pettersson, R.B.,2014.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