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47647-2022 i Sollefteå kommun</w:t>
      </w:r>
    </w:p>
    <w:p>
      <w:r>
        <w:t>Detta dokument behandlar höga naturvärden i avverkningsanmälan A 47647-2022 i Sollefteå kommun. Denna avverkningsanmälan inkom 2022-10-18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större barkplattbagge (EN, §4a), rynkskinn (VU), garnlav (NT), rosenticka (NT), stjärntagging (NT), talltita (NT, §4) och ullticka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47647-2022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7020398, E 602851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större barkplattbagge (EN, §4a)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Större barkplattbagge (EN, §4a)</w:t>
      </w:r>
      <w:r>
        <w:t xml:space="preserve">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barkplattbagge – ekologi samt krav på livsmiljön</w:t>
      </w:r>
    </w:p>
    <w:p>
      <w:r>
        <w:t xml:space="preserve">Större barkplattbagge (EN, §4a) är en starkt hotad art som är knuten till större intakta landskap med äldre granskog där det finns en riklig förekomst och kontinuerlig nybildning av grova granlågor över tid. Det är fridlyst enligt 4a § artskyddsförordningen och strikt skyddad enligt bilaga 2 och 4 EU:s art- och habitatdirektiv vilket innebär att dess livsmiljöer och ekologiska funktion inte på något sätt får skadas eller förstöras. Se EU-domstolens dom 17 april 2018, kommissionen/Polen (Bialowiezaskogen), C-441/17, EU:C:2018:255, punkt 230, 231 och 237, som bland annat avser den större barkplattbaggen </w:t>
      </w:r>
      <w:r>
        <w:rPr>
          <w:i/>
        </w:rPr>
        <w:t>Pytho kolwensis</w:t>
      </w:r>
      <w:r>
        <w:t>. Vidare EU-domstolens dom den 2 juli 2020, Magistrat der Stadt Wien, C-447/19, EU:C:2020:517, punkt 27 Wien och där angiven rättspraxis som anger att det strikta artskyddet och begreppet parningsplats avser samtliga områden som är nödvändiga för att den berörda djurarten med framgång ska kunna fortplanta sig, inbegripet områdena omkring parningsplatsen</w:t>
      </w:r>
      <w:r>
        <w:rPr>
          <w:i/>
        </w:rPr>
        <w:t xml:space="preserve"> </w:t>
      </w:r>
      <w:r>
        <w:t>vilket är i enlighet med direktivets syften</w:t>
      </w:r>
      <w:r>
        <w:rPr>
          <w:i/>
        </w:rPr>
        <w:t>.</w:t>
      </w:r>
      <w:r>
        <w:rPr>
          <w:b/>
          <w:i/>
        </w:rPr>
        <w:t xml:space="preserve"> </w:t>
      </w:r>
      <w:r>
        <w:t>Se även EU-domstolens dom den 4 mars 2021 i de förenade målen C-473/19 och C-474/19. Större barkplattbagge omfattas av ett åtgärdsprogram för hotade arter.</w:t>
      </w:r>
    </w:p>
    <w:p>
      <w:r>
        <w:t>Antalet lokalområden i landet skattas till 40 (30-60). Förekomstarean (AOO) skattas till 160 (120-240) km². En minskning av populationen pågår eller förväntas ske. Minskningen avser utbredningsområde, kvalitén på artens habitat och antalet lokalområden. De skattade värdena som bedömningen baserar sig på ligger alla inom intervallet för kategorin Starkt hotad (EN). De skattade värdena för förekomstarea ligger under gränsvärdet för Starkt hotad (EN). Detta i kombination med att utbredningsområdet är kraftigt fragmenterat och fortgående minskning förekommer gör att arten uppfyller B-kriteriet. (B2ab(i,iii,iv)) (SLU Artdatabanken, 2024).</w:t>
      </w:r>
    </w:p>
    <w:p>
      <w:r>
        <w:t>Den större barkplattbaggens larvutvecklingen sker under bark på grova granlågor med grov bark, främst i äldre, täta och fuktiga granbestånd av brandrefugial karaktär som uppvisar en stor volym död granved. Arten påträffas inte i stående granar och sällan i granlågor med en diameter som är mindre än 25 cm. Eftersom en granlåga utgör substrat för arten bara under en begränsad tid (ca 10 år) behövs en kontinuerlig tillgång på grova granlågor i närområdet. Det dominerande hotet för större barkplattbagge är avverkning och borttagning av död ved samt dikning och dikesrensning. Arten har en begränsad spridningsförmåga och kommer med tiden att försvinna från förekomstområden som är isolerade från andra förekomster av större barkplattbagge. Arten bedöms som starkt hotad (EN) i Rödlista 2020 och det finns en risk att arten försvinner från nuvarande områden. Sammanlagt finns idag 23 förekomstområden fördelade i Västernorrlands-, Västerbottens- och Norrbottens län. (Pettersson, 2014; Naturvårdsverket, 2019).</w:t>
      </w:r>
    </w:p>
    <w:p>
      <w:r>
        <w:t>Hotet om slumpmässigt utdöende är inte försumbart. Det är tydligt att större barkplattbagge har försvunnit från Jämtlands län och att dagens förekomstområden är fragmenterade och isolerade (förutom möjligen i delar av Västernorrlands län). Utdöendemönster från tre lokaler i Jämtlands, Norrbottens och Västerbottens län gör att arten inte kan sägas ha en gynnsam bevarandestatus i Sverige. Det finns utan tvekan en risk för framtida utdöenden för de populationer som lever på små lokaler som endast uppvisar ett fåtal granlågor med larver. Sker utdöende ytterligare på några lokaler blir de kvarvarande svenska populationerna än mer isolerade från varandra. Risken är stor att det sällan eller aldrig sker återkolonisation av isolerade förekomstområden, och arten är också en av de boreala arter som misstänks uppvisa utdöendeskuld (Hanski &amp; Ovaskainen 2002). Fragmentering, isolering och förlust av livsmiljöer kan innebära att merparten av de svenska förekomsterna saknar fungerande metapopulationdynamik, och att större barkplattbagge är ”levande död” med mycket hög utdöenderisk för isolerade förekomster (Pettersson, 2014).</w:t>
      </w:r>
    </w:p>
    <w:p>
      <w:r>
        <w:t>Hittas det nya förekomster av arten behöver behovet av områdesskydd utredas. En viktig del av arbetet med större barkplattbagge är att bevara större landskap och möjliggöra långsiktiga avsättningar av områden som utgör lämpligt habitat för arten. Genom att avstå från skogsbruk i en granskog kommer med tiden flerskiktning och grövre lågor att skapas vilket utgör viktiga delar i artens livsmiljö (Naturvårdsverket, 2019).</w:t>
      </w:r>
    </w:p>
    <w:p>
      <w:pPr>
        <w:pStyle w:val="Heading2"/>
      </w:pPr>
      <w:r>
        <w:t>Referenser – större barkplattbagge</w:t>
      </w:r>
    </w:p>
    <w:p>
      <w:r>
        <w:t xml:space="preserve">Naturvårdsverket, 2019. </w:t>
      </w:r>
      <w:r>
        <w:rPr>
          <w:i/>
        </w:rPr>
        <w:t xml:space="preserve">Uppdaterad åtgärdstabell 2019–2028 för Åtgärdsprogram för större barkplattbagge Pytho kolwensis. </w:t>
      </w:r>
      <w:r>
        <w:t>Naturvårdsverket</w:t>
      </w:r>
    </w:p>
    <w:p>
      <w:r>
        <w:t xml:space="preserve">Pettersson, R.B. (2014). </w:t>
      </w:r>
      <w:r>
        <w:rPr>
          <w:i/>
        </w:rPr>
        <w:t>Åtgärdsprogram för större barkplattbagge, 2014–2018 (Pytho kolwensis)</w:t>
      </w:r>
      <w:r>
        <w:t xml:space="preserve"> (Rapport 6604). Bromma: Naturvårdsverket. https://www.naturvardsverket.se/978-91-620-6604-8</w:t>
      </w:r>
    </w:p>
    <w:p>
      <w:r>
        <w:t xml:space="preserve">SLU Artdatabanken, 2024. </w:t>
      </w:r>
      <w:r>
        <w:rPr>
          <w:i/>
        </w:rPr>
        <w:t xml:space="preserve">Artfakta: större barkplattbagge (Pytho kolwensis). </w:t>
      </w:r>
      <w:r>
        <w:t>https://artfakta.se/taxa/101692 (2024-11-21)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