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57076-2020 i Sollefteå kommun</w:t>
      </w:r>
    </w:p>
    <w:p>
      <w:r>
        <w:t>Detta dokument behandlar höga naturvärden i avverkningsanmälan A 57076-2020 i Sollefteå kommun. Denna avverkningsanmälan inkom 2020-11-03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kråka (NT, §4), nipsippa (NT, §7), rosenticka (NT), strutbräken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57076-2020 karta.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7035528, E 595340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kråka (NT, §4), nipsippa (NT, §7)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Nipsippa (NT, §7)</w:t>
      </w:r>
      <w:r>
        <w:t xml:space="preserve"> är strikt skyddad enligt EU:s art- och habitatdirektiv och fridlyst enligt §7 Artskyddsförordningen (bilaga 1) vilket innebär att hela dess livsmiljö ska bevaras. Växtplatserna utgörs av torr, öppen tall- eller blandskog, tallmoar, åssluttningar, lavhedar eller torrängar. Arten förekommer främst på Gotland samt i Ångermanland, och Sverige hyser drygt 70 procent av totalpopulationen i EU. Arten omfattas av ett åtgärdsprogram för hotade arter (ÅGP) och på den europeiska rödlistan är den rödlistad som DD (Kunskapsbrist) (SLU Artdatabanken, 2024; IUCN, 2011).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