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57317-2024 i Sollefteå kommun</w:t>
      </w:r>
    </w:p>
    <w:p>
      <w:r>
        <w:t>Detta dokument behandlar höga naturvärden i avverkningsanmälan A 57317-2024 i Sollefteå kommun. Denna avverkningsanmälan inkom 2024-12-03 00:00:00 och omfattar 4,0 ha.</w:t>
      </w:r>
    </w:p>
    <w:p>
      <w:r>
        <w:t>Nedan presenteras fynd av naturvårdsarter och fridlysta arter som gjorts i det avverkningsanmälda området, samt relevanta utdrag ur standarderna för FSC, Chain of Custody, Controlled Wood och PEFC. I BILAGA 1 finns artfakta om fridlysta och rödlistade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8 naturvårdsarter hittats: knärot (VU, §8), gammelgransskål (NT), garnlav (NT), granticka (NT), lunglav (NT), spillkråka (NT, §4), tretåig hackspett (NT, §4) och ullticka (NT). Av dessa är 8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65284"/>
            <wp:docPr id="1" name="Picture 1"/>
            <wp:cNvGraphicFramePr>
              <a:graphicFrameLocks noChangeAspect="1"/>
            </wp:cNvGraphicFramePr>
            <a:graphic>
              <a:graphicData uri="http://schemas.openxmlformats.org/drawingml/2006/picture">
                <pic:pic>
                  <pic:nvPicPr>
                    <pic:cNvPr id="0" name="A 57317-2024 karta.png"/>
                    <pic:cNvPicPr/>
                  </pic:nvPicPr>
                  <pic:blipFill>
                    <a:blip r:embed="rId16"/>
                    <a:stretch>
                      <a:fillRect/>
                    </a:stretch>
                  </pic:blipFill>
                  <pic:spPr>
                    <a:xfrm>
                      <a:off x="0" y="0"/>
                      <a:ext cx="5486400" cy="51652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7041035, E 563115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Granticka (NT)</w:t>
      </w:r>
      <w:r>
        <w:t xml:space="preserve"> förekommer främst i äldre skogar med naturskogskaraktär, liksom i dimensionsavverkade och plockhuggna skogar. I äldre grannaturskog i norra Sverige är den alltjämt en förhållandevis vanlig karaktärsart, medan den längre söderut blir allt mer sällsynt. I Götaland och delar av Svealand är den en god signalart för skyddsvärda granskogsmiljöer. Arten bedöms ha minskat starkt under senare år på grund av skogsavverkningar, då den framför allt växer i äldre granskog med långvarig grankontinuitet. I urskogsliknande bestånd i norra Sverige kan ibland påträffas den mycket sällsynta tickan grantickeporing (VU), som lever på döda grantickor (SLU Artdatabanken, 2024; Nitare &amp; Skogsstyrelsen, 2019).</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Fridlysta arter</w:t>
      </w:r>
    </w:p>
    <w:p>
      <w:r>
        <w:t>Följande fridlysta arter har sina livsmiljöer och växtplatser i den avverkningsanmälda skogen: knärot (VU, §8), spillkråka (NT, §4) och tretåig hackspett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0.42 ha med buffertzonerna och får av detta skäl inte avverkas.</w:t>
      </w:r>
    </w:p>
    <w:p>
      <w:pPr>
        <w:pStyle w:val="Caption"/>
      </w:pPr>
      <w:r>
        <w:drawing>
          <wp:inline xmlns:a="http://schemas.openxmlformats.org/drawingml/2006/main" xmlns:pic="http://schemas.openxmlformats.org/drawingml/2006/picture">
            <wp:extent cx="5486400" cy="6521339"/>
            <wp:docPr id="2" name="Picture 2"/>
            <wp:cNvGraphicFramePr>
              <a:graphicFrameLocks noChangeAspect="1"/>
            </wp:cNvGraphicFramePr>
            <a:graphic>
              <a:graphicData uri="http://schemas.openxmlformats.org/drawingml/2006/picture">
                <pic:pic>
                  <pic:nvPicPr>
                    <pic:cNvPr id="0" name="A 57317-2024 karta knärot.png"/>
                    <pic:cNvPicPr/>
                  </pic:nvPicPr>
                  <pic:blipFill>
                    <a:blip r:embed="rId17"/>
                    <a:stretch>
                      <a:fillRect/>
                    </a:stretch>
                  </pic:blipFill>
                  <pic:spPr>
                    <a:xfrm>
                      <a:off x="0" y="0"/>
                      <a:ext cx="5486400" cy="6521339"/>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7041035, E 563115 i SWEREF 99 TM.</w:t>
      </w:r>
    </w:p>
    <w:p>
      <w:pPr>
        <w:pStyle w:val="Caption"/>
      </w:pP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rPr>
          <w:b/>
        </w:rPr>
        <w:t>Tretåig hackspett (NT, §4)</w:t>
      </w:r>
      <w:r>
        <w:t xml:space="preserve"> är rödlistad som nära hotad och ingår i bilaga 1 i EU:s fågeldirektiv. Tretåig hackspett är för sin överlevnad beroende av kontinuerlig tillförsel av äldre döende och död ved, som sker genom naturliga självgallringsprocesser i äldre grannaturskogar och barrblandade naturskogar. Om en skog genom skogsbruk gallras eller glesas ur så upphör och uteblir i stort sett den naturliga självgallringsprocessen för mycket lång tid framöver vilket omöjliggör upprätthållandet av den kontinuerliga ekologiska funktionen i ett område. Det finns studier som visar att naturskogens självgallringsprocess som den tretåiga hackspetten är beroende av, inte kan ersättas med efterlämnad hänsyn i skogsbruket (Imbeau &amp; Desrochers, 2002). Storleken på häckningsreviret varierar med skogstypen, förekomsten av död ved och graden av fragmentering, men är i allmänhet i storleksordningen 25–100 hektar. Vintertid krävs ofta betydligt större områden och det finns studier som antyder att arten behöver minst 100 hektar äldre skog. I områden med låg bonitet kan det behövas över 200 hektar lämpligt habitat för att ett par ska kunna reproducera sig. Områden med dokumenterad permanent förekomst i naturskogsmiljöer har vanligen så stora naturvärden att skogsbruk är olämpligt (Skogsstyrelsen, 2016).</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8 naturvårdsarter varav 8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w:t>
        <w:br/>
        <w:t>Fridlysta och rödlistade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 Det finns studier som visar att naturskogens självgallringsprocess som den tretåiga hackspetten är beroende av, inte kan ersättas med efterlämnad hänsyn i skogsbruket (Imbeau &amp; Desrochers, 2002).</w:t>
      </w:r>
    </w:p>
    <w:p>
      <w:r>
        <w:t>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Imbeau, L. &amp; Desrochers, A. 2002. </w:t>
      </w:r>
      <w:r>
        <w:rPr>
          <w:i/>
        </w:rPr>
        <w:t xml:space="preserve">Foraging Ecology and Use of Drumming Trees by Three-Toed Woodpeckers. </w:t>
      </w:r>
      <w:r>
        <w:t>The Journal of Wildlife Management. Vol. 66, No. 1 (Jan., 2002), pp. 222–231.</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