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44441-2025 i Sollefteå kommun</w:t>
      </w:r>
    </w:p>
    <w:p>
      <w:r>
        <w:t>Detta dokument behandlar höga naturvärden i avverkningsanmälan A 44441-2025 i Sollefteå kommun. Denna avverkningsanmälan inkom 2025-09-16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reliktslända (EN), knärot (VU, §8), rosenticka (NT), talltita (NT, §4), tretåig hackspett (NT, §4), ullticka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4441-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7021528, E 602733 i SWEREF 99 TM.</w:t>
      </w:r>
    </w:p>
    <w:p>
      <w:r>
        <w:rPr>
          <w:b/>
        </w:rPr>
        <w:t>Reliktslända (EN)</w:t>
      </w:r>
      <w:r>
        <w:t xml:space="preserve"> är en starkt hotad art som är påträffad i tall- och barrblandbestånd av urskogskaraktär. Den skiljer sig från de tre övriga svenska ormhalssländorna genom sitt jämnbreda huvud utan punktögon och det mörka vingmärket utan genomgående ribbor. Den livliga larven är rödbrun med vita teckningar, bland annat en karaktäristisk rektangulär ljus fläck i bakre delen av bakkroppssegmenten. Reliktsländans larver lever likt övriga ormhalssländelarver som rovdjur på larver och puppor av barkborrar och andra vedinsekter under barken på döende eller döda träd. Det största hotet utgörs av att naturskog och kontinuitetsskog stadigt minskar i areal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4441-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7021528, E 602733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