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47527-2024 i Sollefteå kommun</w:t>
      </w:r>
    </w:p>
    <w:p>
      <w:r>
        <w:t>Detta dokument behandlar höga naturvärden i avverkningsanmälan A 47527-2024 i Sollefteå kommun. Denna avverkningsanmälan inkom 2024-10-22 15:15:28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ullticka (NT) och lappranunkel (S, §7).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47527-2024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7032939, E 564986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lappranunkel (S, §7).</w:t>
      </w:r>
    </w:p>
    <w:p>
      <w:r>
        <w:rPr>
          <w:b/>
        </w:rPr>
        <w:t>Lappranunkel (§7)</w:t>
      </w:r>
      <w:r>
        <w:t xml:space="preserve"> omfattas av EU:s art- och habitatdirektiv och är fridlyst enligt 7 § artskyddsförordningen vilket innebär att artens livsmiljöer inte får förstöras. Den är knuten till granskogsmiljöer med ytligt liggande markvatten och konstant hög luftfuktighet. Arten är känslig för kalavverkning och markskador men kan kortvarigt står kvar en tid i fuktsvackor efter en avverkning. Lokaler med lappranunkel får inte avverkas (Nitare &amp; Skogsstyrelsen, 2019;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Lappranunkel – ekologi samt krav på livsmiljön</w:t>
      </w:r>
    </w:p>
    <w:p>
      <w:r>
        <w:t>Lappranunkel (§7) omfattas av EU:s art- och habitatdirektiv och fridlyst enligt 7 § artskyddsförordningen vilket innebär att artens livsmiljöer inte får förstöras.</w:t>
      </w:r>
    </w:p>
    <w:p>
      <w:pPr>
        <w:pStyle w:val="ListBullet"/>
      </w:pPr>
      <w:r>
        <w:t xml:space="preserve">7 § </w:t>
      </w:r>
      <w:r>
        <w:rPr>
          <w:i/>
        </w:rPr>
        <w:t>I fråga om sådana växtarter som i bilaga 1 till denna förordning har markerats med N är det förbjudet att avsiktligt plocka, samla in, skära av, dra upp med rötterna eller förstöra växter i deras naturliga utbredningsområde i naturen. Förbudet gäller alla stadier i växternas biologiska cykel.</w:t>
      </w:r>
    </w:p>
    <w:p>
      <w:r>
        <w:t>Lappranunkel är knuten till granskogsmiljöer med ytligt liggande markvatten och konstant hög luftfuktighet. Arten är känslig för kalavverkning och markskador men kan kortvarigt står kvar en tid i fuktsvackor efter en avverkning. Dikade lokaler bör restaureras hydrologiskt. Lokaler med lappranunkel får inte avverkas (Nitare, 2019; SLU Artdatabanken, 2024).</w:t>
      </w:r>
    </w:p>
    <w:p>
      <w:pPr>
        <w:pStyle w:val="Heading2"/>
      </w:pPr>
      <w:r>
        <w:t>Referenser – lappranunkel</w:t>
      </w:r>
    </w:p>
    <w:p>
      <w:r>
        <w:t xml:space="preserve">Nitare, J.,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