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11492-2022 i Sollefteå kommun</w:t>
      </w:r>
    </w:p>
    <w:p>
      <w:r>
        <w:t>Denna tillsynsbegäran behandlar höga naturvärden i avverkningsanmälan A 11492-2022 i Sollefteå kommun som inkom 2022-03-10 och omfattar 9,3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11492-2022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7034627, E 599729 i SWEREF 99 TM.</w:t>
      </w:r>
    </w:p>
    <w:p>
      <w:r>
        <w:t>I och inom 25 meter från avverkningsanmälan finns fynd av 28 naturvårdsarter, varav 18 är rödlistade, 6 är fridlysta, 23 är typiska (T) och 6 är signalarter (S): fläckporing (VU, T), garnlav (VU, T), gränsticka (VU, T), knärot (VU, T, §8), ulltickeporing (VU), bred trollknäppare (NT), doftskinn (NT, T), dropptaggsvamp (NT, T), gammelgransskål (NT, T), kolflarnlav (NT, T), lunglav (NT, T), rosenticka (NT, T), rynkskinn (NT, T), tretåig hackspett (NT, T, §4), ullticka (NT, T), vaddporing (NT), vedtrappmossa (NT, T), violettgrå tagellav (NT, T), grönpyrola (S, T), norrlandslav (S, T), robust tickgnagare (S), skinnlav (S, T), stuplav (S, T), vedticka (S, T), järpe (T, §4),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3.63 ha med buffertzonerna och får av detta skäl inte avverkas.</w:t>
      </w:r>
    </w:p>
    <w:p>
      <w:pPr>
        <w:pStyle w:val="Caption"/>
      </w:pPr>
      <w:r>
        <w:drawing>
          <wp:inline xmlns:a="http://schemas.openxmlformats.org/drawingml/2006/main" xmlns:pic="http://schemas.openxmlformats.org/drawingml/2006/picture">
            <wp:extent cx="5486400" cy="6767878"/>
            <wp:docPr id="2" name="Picture 2"/>
            <wp:cNvGraphicFramePr>
              <a:graphicFrameLocks noChangeAspect="1"/>
            </wp:cNvGraphicFramePr>
            <a:graphic>
              <a:graphicData uri="http://schemas.openxmlformats.org/drawingml/2006/picture">
                <pic:pic>
                  <pic:nvPicPr>
                    <pic:cNvPr id="0" name="A 11492-2022 karta knärot.png"/>
                    <pic:cNvPicPr/>
                  </pic:nvPicPr>
                  <pic:blipFill>
                    <a:blip r:embed="rId17"/>
                    <a:stretch>
                      <a:fillRect/>
                    </a:stretch>
                  </pic:blipFill>
                  <pic:spPr>
                    <a:xfrm>
                      <a:off x="0" y="0"/>
                      <a:ext cx="5486400" cy="6767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7034627, E 599729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Bred trollknäppare (NT) </w:t>
      </w:r>
      <w:r>
        <w:t>är en skalbagge vars larvutveckling sker under bark och i rötad ved på lågor och stubbar av främst barrträd, mer sällan lövträd som t.ex. björk, asp och ek. Den fullbildade skalbaggen uppehåller sig under barken eller i sprickor i veden där den kan vara svår att få syn på. Arten missgynnas av substratbrist i det brukade skogslandskapet och en minskning av populationen pågår eller förväntas ske (SLU Artdatabanken, 2025).</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knärot (VU, T, §8), doftskinn (NT, T), dropptaggsvamp (NT, T), gammelgransskål (NT, T), kolflarnlav (NT, T), lunglav (NT, T), rosenticka (NT, T), rynkskinn (NT, T), tretåig hackspett (NT, T, §4), ullticka (NT, T), vedtrappmossa (NT, T), violettgrå tagellav (NT, T), grönpyrola (S, T), norrlandslav (S, T), skinnlav (S, T), stuplav (S, T), vedticka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