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21099-2024 i Sollefteå kommun</w:t>
      </w:r>
    </w:p>
    <w:p>
      <w:r>
        <w:t>Denna tillsynsbegäran behandlar höga naturvärden i avverkningsanmälan A 21099-2024 i Sollefteå kommun som inkom 2024-05-27 och omfattar 2,5 ha.</w:t>
      </w:r>
    </w:p>
    <w:p>
      <w:pPr>
        <w:pStyle w:val="Caption"/>
      </w:pPr>
      <w:r>
        <w:drawing>
          <wp:inline xmlns:a="http://schemas.openxmlformats.org/drawingml/2006/main" xmlns:pic="http://schemas.openxmlformats.org/drawingml/2006/picture">
            <wp:extent cx="5486400" cy="3504886"/>
            <wp:docPr id="1" name="Picture 1"/>
            <wp:cNvGraphicFramePr>
              <a:graphicFrameLocks noChangeAspect="1"/>
            </wp:cNvGraphicFramePr>
            <a:graphic>
              <a:graphicData uri="http://schemas.openxmlformats.org/drawingml/2006/picture">
                <pic:pic>
                  <pic:nvPicPr>
                    <pic:cNvPr id="0" name="A 21099-2024 karta.png"/>
                    <pic:cNvPicPr/>
                  </pic:nvPicPr>
                  <pic:blipFill>
                    <a:blip r:embed="rId16"/>
                    <a:stretch>
                      <a:fillRect/>
                    </a:stretch>
                  </pic:blipFill>
                  <pic:spPr>
                    <a:xfrm>
                      <a:off x="0" y="0"/>
                      <a:ext cx="5486400" cy="3504886"/>
                    </a:xfrm>
                    <a:prstGeom prst="rect"/>
                  </pic:spPr>
                </pic:pic>
              </a:graphicData>
            </a:graphic>
          </wp:inline>
        </w:drawing>
      </w:r>
    </w:p>
    <w:p>
      <w:pPr>
        <w:pStyle w:val="Caption"/>
        <w:spacing w:after="240"/>
      </w:pPr>
      <w:r>
        <w:t>Figur 1. Fyndplatser för naturvårdsarter inom 21 meter från avverkningsanmälan. Markörer utan svart kant är placerade på fyndplatsen. Markörer med svart kant är placerade vid sidan av fyndplatsen och har ett svart streck som visar fyndplatsens exakta position. Kartans mittpunktskoordinat är N 7098868, E 584059 i SWEREF 99 TM.</w:t>
      </w:r>
    </w:p>
    <w:p>
      <w:r>
        <w:t>Inom 21 meter från avverkningsanmälan finns fynd av 4 naturvårdsarter, varav 2 är rödlistade, 4 är typiska (T) och 2 är signalarter (S): gränsticka (VU, T), lunglav (NT, T), barkticka (S, T) och stuplav (S,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Gränsticka (VU)</w:t>
      </w:r>
      <w:r>
        <w:t xml:space="preserve"> är en mycket bra signalart inom hela sitt utbredningsområde. Den är huvudsakligen knuten till restbestånd av barrnaturskog och förekommer med ett tydligt optimum i orörda eller måttligt påverkade gamla granskogar där det föreligger långvarig kontinuitet av grov död ved. Den totala populationen bedöms ha minskat och fortsätter att minska i takt med att grankontinuitetsskogar (äldre tidigare icke kalavverkade skogar) minskar i areal. Minskningstakten överstiger gränsvärdet för sårbar (VU). Lokaler som hyser arten bör undantas från skogsbruk, speciellt i mellersta och södra Sverige. Gränsticka är typisk art för </w:t>
      </w:r>
      <w:r>
        <w:rPr>
          <w:i/>
        </w:rPr>
        <w:t>9010 Taiga</w:t>
      </w:r>
      <w:r>
        <w:t xml:space="preserve"> (SLU Artdatabanken, 2026; Nitare &amp; Skogsstyrelsen, 2019).</w:t>
      </w:r>
    </w:p>
    <w:p>
      <w:r>
        <w:rPr>
          <w:b/>
        </w:rPr>
        <w:t>Lunglav (NT)</w:t>
      </w:r>
      <w:r>
        <w:t xml:space="preserve"> är en av vårt lands främsta signalarter som överallt indikerar gamla lövträd, skogsbestånd med höga naturvärden och ekosystem med långskoglig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På lunglav kan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påträffas. 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 Nitare &amp; Skogsstyrelsen, 2019).</w:t>
      </w:r>
    </w:p>
    <w:p>
      <w:r>
        <w:rPr>
          <w:b/>
        </w:rPr>
        <w:t>Barkticka</w:t>
      </w:r>
      <w:r>
        <w:t xml:space="preserve"> är en vednedbrytare som växer på barken av döda lövträd, främst asp, men någon gång även på björk eller andra trädslag. På sina växtplatser förekommer den gärna tillsammans med flera ovanliga och rödlistade arter, till exempel olika insekter. Barkticka är typisk art för </w:t>
      </w:r>
      <w:r>
        <w:rPr>
          <w:i/>
        </w:rPr>
        <w:t xml:space="preserve">9010 Taiga </w:t>
      </w:r>
      <w:r>
        <w:t xml:space="preserve">och </w:t>
      </w:r>
      <w:r>
        <w:rPr>
          <w:i/>
        </w:rPr>
        <w:t>9030 Landhöjningsskog</w:t>
      </w:r>
      <w:r>
        <w:t xml:space="preserve"> (SLU Artdatabanken, 2025; Nitare &amp; Skogsstyrelsen, 2019).</w:t>
      </w:r>
    </w:p>
    <w:p>
      <w:r>
        <w:rPr>
          <w:b/>
        </w:rPr>
        <w:t>Stuplav</w:t>
      </w:r>
      <w:r>
        <w:t xml:space="preserve"> är en mycket bra signalart i hela sitt utbredningsområde och förekommer nästan enbart i skogsmiljöer med höga naturvärden. Den indikerar långvarig förekomst av gamla lövträd och miljöer med konstant hög luftfuktighet. I skogar med suboceaniskt klimat finns det en mycket sällsynt parasit, njurlavsknapp </w:t>
      </w:r>
      <w:r>
        <w:rPr>
          <w:i/>
        </w:rPr>
        <w:t>Pletocarpon nephromeum</w:t>
      </w:r>
      <w:r>
        <w:t xml:space="preserve"> (EN), som växer på stuplav. Ytterligare tre sällsynta lavparasiter, </w:t>
      </w:r>
      <w:r>
        <w:rPr>
          <w:i/>
        </w:rPr>
        <w:t>Protounguicularia nephromatis</w:t>
      </w:r>
      <w:r>
        <w:t xml:space="preserve"> (VU), </w:t>
      </w:r>
      <w:r>
        <w:rPr>
          <w:i/>
        </w:rPr>
        <w:t>Refractohilum galligenum</w:t>
      </w:r>
      <w:r>
        <w:t xml:space="preserve"> (NT) och </w:t>
      </w:r>
      <w:r>
        <w:rPr>
          <w:i/>
        </w:rPr>
        <w:t>Roselliniella nephromatis</w:t>
      </w:r>
      <w:r>
        <w:t xml:space="preserve"> (DD), kan också påträffas på stuplav. Stuplav är typisk art för </w:t>
      </w:r>
      <w:r>
        <w:rPr>
          <w:i/>
        </w:rPr>
        <w:t>9010 Taiga</w:t>
      </w:r>
      <w:r>
        <w:t xml:space="preserve"> (SLU Artdatabanken, 2026; Nitare &amp; Skogsstyrelsen, 2019).</w:t>
      </w:r>
    </w:p>
    <w:p>
      <w:r>
        <w:br w:type="page"/>
      </w:r>
    </w:p>
    <w:p>
      <w:pPr>
        <w:pStyle w:val="Title"/>
      </w:pPr>
      <w:r>
        <w:t>BILAGA 1 – Rödlistade arter</w:t>
      </w:r>
    </w:p>
    <w:p>
      <w:pPr>
        <w:pStyle w:val="Heading1"/>
      </w:pPr>
      <w:r>
        <w:t>Lunglav – ekologi samt krav på livsmiljön</w:t>
      </w:r>
    </w:p>
    <w:p>
      <w:r>
        <w:t xml:space="preserve">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däribland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som växer på lunglav. Rikliga förekomster med lunglav bör skyddas med biotopskydd, frivilliga avsättningar eller reservat (SLU Artdatabanken, 2026; Nitare &amp; Skogsstyrelsen, 2019).</w:t>
      </w:r>
    </w:p>
    <w:p>
      <w:r>
        <w:t xml:space="preserve">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2026-10-19</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