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7334-2025 i Sollefteå kommun</w:t>
      </w:r>
    </w:p>
    <w:p>
      <w:r>
        <w:t>Denna tillsynsbegäran behandlar höga naturvärden i avverkningsanmälan A 7334-2025 i Sollefteå kommun som inkom 2025-02-15 och omfattar 2,2 ha.</w:t>
      </w:r>
    </w:p>
    <w:p>
      <w:pPr>
        <w:pStyle w:val="Caption"/>
      </w:pPr>
      <w:r>
        <w:drawing>
          <wp:inline xmlns:a="http://schemas.openxmlformats.org/drawingml/2006/main" xmlns:pic="http://schemas.openxmlformats.org/drawingml/2006/picture">
            <wp:extent cx="5486400" cy="4755861"/>
            <wp:docPr id="1" name="Picture 1"/>
            <wp:cNvGraphicFramePr>
              <a:graphicFrameLocks noChangeAspect="1"/>
            </wp:cNvGraphicFramePr>
            <a:graphic>
              <a:graphicData uri="http://schemas.openxmlformats.org/drawingml/2006/picture">
                <pic:pic>
                  <pic:nvPicPr>
                    <pic:cNvPr id="0" name="A 7334-2025 karta.png"/>
                    <pic:cNvPicPr/>
                  </pic:nvPicPr>
                  <pic:blipFill>
                    <a:blip r:embed="rId16"/>
                    <a:stretch>
                      <a:fillRect/>
                    </a:stretch>
                  </pic:blipFill>
                  <pic:spPr>
                    <a:xfrm>
                      <a:off x="0" y="0"/>
                      <a:ext cx="5486400" cy="475586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7031422, E 578032 i SWEREF 99 TM.</w:t>
      </w:r>
    </w:p>
    <w:p>
      <w:r>
        <w:t>I avverkningsanmälan finns fynd av 6 naturvårdsarter, varav 3 är rödlistade, 4 är fridlysta, 2 är typiska (T) och 2 är signalarter (S): björktrast (NT, §4), gulsparv (NT, §4), rödvingetrast (NT, §4), skinnlav (S, T), stor aspticka (S,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