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1329-2026 i Sollefteå kommun</w:t>
      </w:r>
    </w:p>
    <w:p>
      <w:r>
        <w:t>Denna tillsynsbegäran behandlar höga naturvärden i samrådsanmälan S 1329-2026 i Sollefteå kommun som inkom 2026-05-06 och omfattar 3,9 ha.</w:t>
      </w:r>
    </w:p>
    <w:p>
      <w:pPr>
        <w:pStyle w:val="Caption"/>
      </w:pPr>
      <w:r>
        <w:drawing>
          <wp:inline xmlns:a="http://schemas.openxmlformats.org/drawingml/2006/main" xmlns:pic="http://schemas.openxmlformats.org/drawingml/2006/picture">
            <wp:extent cx="5486400" cy="4504916"/>
            <wp:docPr id="1" name="Picture 1"/>
            <wp:cNvGraphicFramePr>
              <a:graphicFrameLocks noChangeAspect="1"/>
            </wp:cNvGraphicFramePr>
            <a:graphic>
              <a:graphicData uri="http://schemas.openxmlformats.org/drawingml/2006/picture">
                <pic:pic>
                  <pic:nvPicPr>
                    <pic:cNvPr id="0" name="S 1329-2026 karta.png"/>
                    <pic:cNvPicPr/>
                  </pic:nvPicPr>
                  <pic:blipFill>
                    <a:blip r:embed="rId16"/>
                    <a:stretch>
                      <a:fillRect/>
                    </a:stretch>
                  </pic:blipFill>
                  <pic:spPr>
                    <a:xfrm>
                      <a:off x="0" y="0"/>
                      <a:ext cx="5486400" cy="4504916"/>
                    </a:xfrm>
                    <a:prstGeom prst="rect"/>
                  </pic:spPr>
                </pic:pic>
              </a:graphicData>
            </a:graphic>
          </wp:inline>
        </w:drawing>
      </w:r>
    </w:p>
    <w:p>
      <w:pPr>
        <w:pStyle w:val="Caption"/>
        <w:spacing w:after="240"/>
      </w:pPr>
      <w:r>
        <w:t>Figur 1. Fyndplatser för naturvårdsarter i och inom 13 meter från samrådsanmälan. Markörer utan svart kant är placerade på fyndplatsen. Markörer med svart kant är placerade vid sidan av fyndplatsen och har ett svart streck som visar fyndplatsens exakta position. Kartans mittpunktskoordinat är N 7035180, E 603152 i SWEREF 99 TM.</w:t>
      </w:r>
    </w:p>
    <w:p>
      <w:r>
        <w:t>I och inom 13 meter från samrådsanmälan finns fynd av 8 naturvårdsarter, varav 6 är rödlistade, 1 är fridlyst, 6 är typiska (T) och 2 är signalarter (S): knärot (VU, T, §8), luddfingersvamp (NT), lunglav (NT, T), rosenticka (NT, T), ullticka (NT, T), vitgrynig nållav (NT), bårdlav (S, T) och luddlav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5 fyndplatser för knärot registrerade på Artportalen. Figur 2 visar gränserna för buffertzoner på 50 m, som behöver lämnas kring fyndplatserna för att knärotslokalerna inte ska försvinna vid en avverkning. Av det samrådsanmälda området överlappar 2.26 ha med buffertzonerna och får av detta skäl inte avverkas.</w:t>
      </w:r>
    </w:p>
    <w:p>
      <w:pPr>
        <w:pStyle w:val="Caption"/>
      </w:pPr>
      <w:r>
        <w:drawing>
          <wp:inline xmlns:a="http://schemas.openxmlformats.org/drawingml/2006/main" xmlns:pic="http://schemas.openxmlformats.org/drawingml/2006/picture">
            <wp:extent cx="5486400" cy="5488286"/>
            <wp:docPr id="2" name="Picture 2"/>
            <wp:cNvGraphicFramePr>
              <a:graphicFrameLocks noChangeAspect="1"/>
            </wp:cNvGraphicFramePr>
            <a:graphic>
              <a:graphicData uri="http://schemas.openxmlformats.org/drawingml/2006/picture">
                <pic:pic>
                  <pic:nvPicPr>
                    <pic:cNvPr id="0" name="S 1329-2026 karta knärot.png"/>
                    <pic:cNvPicPr/>
                  </pic:nvPicPr>
                  <pic:blipFill>
                    <a:blip r:embed="rId17"/>
                    <a:stretch>
                      <a:fillRect/>
                    </a:stretch>
                  </pic:blipFill>
                  <pic:spPr>
                    <a:xfrm>
                      <a:off x="0" y="0"/>
                      <a:ext cx="5486400" cy="5488286"/>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7035180, E 603152 i SWEREF 99 TM.</w:t>
      </w:r>
    </w:p>
    <w:p>
      <w:r>
        <w:rPr>
          <w:b/>
        </w:rPr>
        <w:t>Luddfingersvamp (NT)</w:t>
      </w:r>
      <w:r>
        <w:t xml:space="preserve"> påträffas på mineralrik mark i granskog med mycket hög luftfuktighet, t.ex. vid källflöden, fuktdråg, bäckar eller i anslutning till vattenfall och forsdimma. Arten är mycket uttorkningskänslig och kräver granskogsmiljöer med konstant mycket hög luftfuktighet. Den tål inte en slutavverkning eller någon form av dränering som påverkar växtplatsens hydrologi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knärot (VU, T, §8), lunglav (NT, T), rosenticka (NT, T), ullticka (NT, T), bårdlav (S, T) och luddlav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