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842-2025 i Sollefteå kommun</w:t>
      </w:r>
    </w:p>
    <w:p>
      <w:r>
        <w:t>Denna tillsynsbegäran behandlar höga naturvärden i samrådsanmälan S 842-2025 i Sollefteå kommun som inkom 2025-03-17 och omfattar 2241,9 ha.</w:t>
      </w:r>
    </w:p>
    <w:p>
      <w:pPr>
        <w:pStyle w:val="Caption"/>
      </w:pPr>
      <w:r>
        <w:drawing>
          <wp:inline xmlns:a="http://schemas.openxmlformats.org/drawingml/2006/main" xmlns:pic="http://schemas.openxmlformats.org/drawingml/2006/picture">
            <wp:extent cx="5486400" cy="5047557"/>
            <wp:docPr id="1" name="Picture 1"/>
            <wp:cNvGraphicFramePr>
              <a:graphicFrameLocks noChangeAspect="1"/>
            </wp:cNvGraphicFramePr>
            <a:graphic>
              <a:graphicData uri="http://schemas.openxmlformats.org/drawingml/2006/picture">
                <pic:pic>
                  <pic:nvPicPr>
                    <pic:cNvPr id="0" name="S 842-2025 karta.png"/>
                    <pic:cNvPicPr/>
                  </pic:nvPicPr>
                  <pic:blipFill>
                    <a:blip r:embed="rId16"/>
                    <a:stretch>
                      <a:fillRect/>
                    </a:stretch>
                  </pic:blipFill>
                  <pic:spPr>
                    <a:xfrm>
                      <a:off x="0" y="0"/>
                      <a:ext cx="5486400" cy="5047557"/>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7020854, E 597908 i SWEREF 99 TM.</w:t>
      </w:r>
    </w:p>
    <w:p>
      <w:r>
        <w:t>I och inom 25 meter från samrådsanmälan finns fynd av 19 naturvårdsarter, varav 10 är rödlistade, 14 är fridlysta, 12 är typiska (T) och 3 är signalarter (S): doftticka (VU, T, §8), garnlav (VU, T), lappuggla (VU, §4), järnsparv (NT, §4), kungsörn (NT, §4), lavskrika (NT, T, §4), lunglav (NT, T), rosenticka (NT, T), talltita (NT, §4), ullticka (NT, T), korallrot (S, T, §8), plattlummer (S, T, §9), ögonpyrola (S, T), järpe (T, §4), spillkråka (T, §4), tjäder (T, §4), grönsiska (§4), kungsfågel (§4)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0 fyndplatser för knärot registrerade på Artportalen. Figur 2 visar gränserna för buffertzoner på 50 m, som behöver lämnas kring fyndplatserna för att knärotslokalerna inte ska försvinna vid en avverkning. Av det samrådsanmälda området överlappar 0.17 ha med buffertzonerna och får av detta skäl inte avverkas.</w:t>
      </w:r>
    </w:p>
    <w:p>
      <w:pPr>
        <w:pStyle w:val="Caption"/>
      </w:pPr>
      <w:r>
        <w:drawing>
          <wp:inline xmlns:a="http://schemas.openxmlformats.org/drawingml/2006/main" xmlns:pic="http://schemas.openxmlformats.org/drawingml/2006/picture">
            <wp:extent cx="5486400" cy="6398968"/>
            <wp:docPr id="2" name="Picture 2"/>
            <wp:cNvGraphicFramePr>
              <a:graphicFrameLocks noChangeAspect="1"/>
            </wp:cNvGraphicFramePr>
            <a:graphic>
              <a:graphicData uri="http://schemas.openxmlformats.org/drawingml/2006/picture">
                <pic:pic>
                  <pic:nvPicPr>
                    <pic:cNvPr id="0" name="S 842-2025 karta knärot.png"/>
                    <pic:cNvPicPr/>
                  </pic:nvPicPr>
                  <pic:blipFill>
                    <a:blip r:embed="rId17"/>
                    <a:stretch>
                      <a:fillRect/>
                    </a:stretch>
                  </pic:blipFill>
                  <pic:spPr>
                    <a:xfrm>
                      <a:off x="0" y="0"/>
                      <a:ext cx="5486400" cy="6398968"/>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7020854, E 597908 i SWEREF 99 TM.</w:t>
      </w:r>
    </w:p>
    <w:p>
      <w:r>
        <w:rPr>
          <w:b/>
        </w:rPr>
        <w:t>Lappuggla (VU, §4)</w:t>
      </w:r>
      <w:r>
        <w:t xml:space="preserve"> är rödlistad som sårbar och upptagen i bilaga 1 EU:s fågeldirektiv. Den hotas av brist på lämpliga risbon till följd av avverkning av äldre skog samt fragmentering av större skogsbestånd och det allvarligaste hotet mot arten utgörs av minskad tillgång på lämplig häckningsmiljö och särskilt på boplatser på grund av skogsbruk. Skyddszoner behöver lämnas kring boplatser vid avverkning eller andra skogliga åtgärder. Som tumregel kan man säga att skyddszonen ska vara så bred (&gt;100 m) att boet inte syns från kanten av beståndet (SLU Artdatabanken, 2024; Skogsstyrelsen, 2016).</w:t>
      </w:r>
    </w:p>
    <w:p>
      <w:r>
        <w:rPr>
          <w:b/>
        </w:rPr>
        <w:t>Kungsörn (NT, §4)</w:t>
      </w:r>
      <w:r>
        <w:t xml:space="preserve"> är rödlistad som nära hotad och upptagen i bilaga 1 EU:s fågeldirektiv. 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andra störande verksamheter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doftticka (VU, T, §8), garnlav (VU, T), lavskrika (NT, T, §4), lunglav (NT, T), rosenticka (NT, T), ullticka (NT, T), korallrot (S, T, §8), plattlummer (S, T, §9), ögonpyrola (S, T), järpe (T, §4),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Lappuggla – ekologi samt krav på livsmiljön</w:t>
      </w:r>
    </w:p>
    <w:p>
      <w:r>
        <w:t>Lappuggla är rödlistad som sårbar (VU), fridlyst enligt 4§ Artskyddsförordningen och upptagen i bilaga 1 EU:s fågeldirektiv. Den häckar i skogsmark där den i första hand utnyttjar risbon efter ormvråk, bivråk och duvhök. Inom häckningsområdena bör särskild hänsyn tas till de arter som förser lappugglan med bon och biotopskyddsåtgärderna måste därför inriktas på att bibehålla möjligheten för ursprungsarterna (duvhök, ormvråk och bivråk) att upprätthålla sina häckningsplatser med bibehållen bomiljö (SLU Artdatabanken, 2024).</w:t>
      </w:r>
    </w:p>
    <w:p>
      <w:r>
        <w:t>Lappugglan hotas av brist på lämpliga risbon till följd av avverkning av äldre skog samt fragmentering av större skogsbestånd och det allvarligaste hotet mot arten utgörs av minskad tillgång på lämplig häckningsmiljö och särskilt på boplatser på grund av skogsbruk. Skogsområden som under många år utgjort häckningslokaler för lappuggla har utan hänsyn avverkats, i flera fall t.o.m. under häckningsperioden för lappugglan eller dess värdarter. Flera kända häckningslokaler är akut hotade av förestående avverkningar. Antalet individer bedöms vara lägre än gränsvärdet för Sårbar (VU) enligt D-kriteriet. (D1) (SLU Artdatabanken, 2024; Skogsstyrelsen, 2016).</w:t>
      </w:r>
    </w:p>
    <w:p>
      <w:r>
        <w:t>Skyddszoner behöver lämnas kring boplatser vid avverkning eller andra skogliga åtgärder. Som tumregel kan man säga att skyddszonen ska vara så bred (&gt;100 m) att boet inte syns från kanten av beståndet (Skogsstyrelsen, 2016).</w:t>
      </w:r>
    </w:p>
    <w:p>
      <w:pPr>
        <w:pStyle w:val="Heading2"/>
      </w:pPr>
      <w:r>
        <w:t>Referenser – lappuggla</w:t>
      </w:r>
    </w:p>
    <w:p>
      <w:r>
        <w:t xml:space="preserve">Skogsstyrelsen, 2016. </w:t>
      </w:r>
      <w:r>
        <w:rPr>
          <w:i/>
        </w:rPr>
        <w:t xml:space="preserve">Vägledning för hänsyn till lappuggla. </w:t>
      </w:r>
      <w:r>
        <w:t>Vägledningar och kunskapsstöd artskydd – Skogsstyrelsen</w:t>
      </w:r>
    </w:p>
    <w:p>
      <w:r>
        <w:t xml:space="preserve">SLU Artdatabanken, 2024. </w:t>
      </w:r>
      <w:r>
        <w:rPr>
          <w:i/>
        </w:rPr>
        <w:t xml:space="preserve">Artfaktablad. Naturvård – artfakta. </w:t>
      </w:r>
      <w:r>
        <w:t>SLU Artdatabanken, Uppsala</w:t>
      </w:r>
    </w:p>
    <w:p>
      <w:pPr>
        <w:pStyle w:val="Heading1"/>
      </w:pPr>
      <w:r>
        <w:t>Kungsörn – ekologi samt krav på livsmiljön</w:t>
      </w:r>
    </w:p>
    <w:p>
      <w:r>
        <w:t>Kungsörn är rödlistad som nära hotad (NT) och fridlyst enligt 4§ Artskyddsförordningen samt upptagen i bilaga 1 EU:s fågeldirektiv. Kungsörnen häckar i skogs- och fjällområden där den bygger stora risbon i grova träd eller på klipphyllor. Risboet är ca 1,5 m i diameter och i extremfall upp till 5 m högt, vanligtvis beläget i en kraftig tall eller i ett klippstup, ofta med utsikt över terrängen. Varje par har ofta flera alternativa boplatser inom sitt revir och dessa kan ligga åtskilliga kilometer från varandra (upp till 6,5 km konstaterat i Norge). Bon i träd placeras oftast på 2/3 höjd, mera sällan i eller nära toppen (SLU Artdatabanken, 2024).</w:t>
      </w:r>
    </w:p>
    <w:p>
      <w:r>
        <w:t>I marker med medelgod bytestillgång är avståndet mellan etablerade par under naturliga förhållanden i genomsnitt cirka 10 km. I områden med gott om byten, som t.ex. i Skåne och Gotland men lokalt även i Norrland, kan avstånden vara betydligt kortare. Till exempel på Gotland har samtidiga häckningar skett i bon belägna endast lite drygt tre kilometer från varandra. I fattiga norrlandsskogar är medelavståndet mellan paren drygt 15 km. (SLU Artdatabanken, 2024).</w:t>
      </w:r>
    </w:p>
    <w:p>
      <w:r>
        <w:t>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annan störande berksamhet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Kungsörnen har på lång sikt en något osäker framtid på grund av den genomhuggning och kalavverkning av äldre, urskogsartade bestånd som fortfarande sker långt upp mot fjällområdena. Därvid kan brist på lämpliga boträd uppstå, likaså försämrad bytestillgång. Boträden, tallar i minst 95 % av fallen, bör vara kraftiga och i Norrland helst minst 200 år gamla. Medelåldern på 97 friska träd var 311 år vid en studie i Norrland 1975–1980. På Gotland har medelåldern på boträden konstaterats vara 145 år. Den gammelskog som i dagens läge finns kvar i Norrland hittas framför allt i svåravverkade, branta sluttningar i anslutning till berg, på blockrika berg, i eller i anslutning till raviner och sprickdalar eller på myrholmar. Eftersom ungefär halva den svenska kungsörnsstammen är beroende av lämpliga boträd skulle en mer omfattande avverkning i ovan nämnda terrängtyper troligen vara starkt negativ för artens fortbestånd. (SLU Artdatabanken, 2024).</w:t>
      </w:r>
    </w:p>
    <w:p>
      <w:pPr>
        <w:pStyle w:val="Heading2"/>
      </w:pPr>
      <w:r>
        <w:t>Referenser – kungsörn</w:t>
      </w:r>
    </w:p>
    <w:p>
      <w:r>
        <w:t xml:space="preserve">Skogsstyrelsen, 2016. </w:t>
      </w:r>
      <w:r>
        <w:rPr>
          <w:i/>
        </w:rPr>
        <w:t xml:space="preserve">Vägledning för hänsyn till kungsörn. </w:t>
      </w:r>
      <w:r>
        <w:t>Vägledningar och kunskapsstöd artskydd – Skogsstyrelsen</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