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som inkom 2026-04-30 och omfattar 13,4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