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som inkom 2021-08-23 och omfattar 17,4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7008055, E 614447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37 naturvårdsarter hittats: blackticka (VU), garnlav (VU, T), grantickeporing (VU), gräddticka (VU), knärot (VU, T, §8), lappticka (VU, T), dropptaggsvamp (NT, T), fjällig taggsvamp s.str. (NT), fyrflikig jordstjärna (NT, T), gammelgransskål (NT, T), grantaggsvamp (NT), harticka (NT, T), orange taggsvamp (NT, T), persiljespindling (NT), puderspindling (NT), rosenticka (NT, T), rynkskinn (NT, T), skarp dropptaggsvamp (NT), sotvaxskivling (NT), stjärntagging (NT, T), svartvit taggsvamp (NT), talltagel (NT, T), talltaggsvamp (NT), talltita (NT, §4), tretåig hackspett (NT, T, §4), ullticka (NT, T), vitgrynig nållav (NT), äggvaxskivling (NT), bronshjon (S, T), kamjordstjärna (S), rökmusseron (S), spindelblomster (S, T, §8), trådticka (S, T), vedticka (S, T), vågbandad barkbock (S), blåsippa (T, §9) och grönsiska (§4). Av dessa är 28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spindelblomster (S, T, §8), blåsippa (T, §9)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6.82 ha med buffertzonerna och får av detta skäl inte avverkas.</w:t>
      </w:r>
    </w:p>
    <w:p>
      <w:pPr>
        <w:pStyle w:val="Caption"/>
      </w:pPr>
      <w:r>
        <w:drawing>
          <wp:inline xmlns:a="http://schemas.openxmlformats.org/drawingml/2006/main" xmlns:pic="http://schemas.openxmlformats.org/drawingml/2006/picture">
            <wp:extent cx="5486400" cy="4266572"/>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42665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dropptaggsvamp (NT, T), fyrflikig jordstjärna (NT, T), gammelgransskål (NT, T), harticka (NT, T), orange taggsvamp (NT, T), rosenticka (NT, T), rynkskinn (NT, T), stjärntagging (NT, T), talltagel (NT, T), tretåig hackspett (NT, T, §4), ullticka (NT, T), bronshjon (S, T), spindelblomster (S, T, §8),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