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24 meter från avverkningsanmälan finns fynd av 12 naturvårdsarter, varav 7 är rödlistade, 4 är fridlysta och 11 är typiska (T): garnlav (VU, T), gränsticka (VU, T), knärot (VU, T, §8), dropptaggsvamp (NT, T), rosenticka (NT, T), ullticka (NT, T), äggvaxskivling (NT), fönsterlav (T), gråspett (T, §4), hultbräken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rosenticka (NT, T), ullticka (NT, T), fönsterlav (T), gråspett (T, §4), hultbräken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