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27584-2026 i Sollefteå kommun</w:t>
      </w:r>
    </w:p>
    <w:p>
      <w:r>
        <w:t>Detta klagomål behandlar höga naturvärden i avverkningsanmälan A 27584-2026 i Sollefteå kommun som inkom 2026-06-17 och omfattar 2,9 ha.</w:t>
      </w:r>
    </w:p>
    <w:p>
      <w:pPr>
        <w:pStyle w:val="Caption"/>
      </w:pPr>
      <w:r>
        <w:drawing>
          <wp:inline xmlns:a="http://schemas.openxmlformats.org/drawingml/2006/main" xmlns:pic="http://schemas.openxmlformats.org/drawingml/2006/picture">
            <wp:extent cx="5486400" cy="3125928"/>
            <wp:docPr id="1" name="Picture 1"/>
            <wp:cNvGraphicFramePr>
              <a:graphicFrameLocks noChangeAspect="1"/>
            </wp:cNvGraphicFramePr>
            <a:graphic>
              <a:graphicData uri="http://schemas.openxmlformats.org/drawingml/2006/picture">
                <pic:pic>
                  <pic:nvPicPr>
                    <pic:cNvPr id="0" name="A 27584-2026 karta.png"/>
                    <pic:cNvPicPr/>
                  </pic:nvPicPr>
                  <pic:blipFill>
                    <a:blip r:embed="rId16"/>
                    <a:stretch>
                      <a:fillRect/>
                    </a:stretch>
                  </pic:blipFill>
                  <pic:spPr>
                    <a:xfrm>
                      <a:off x="0" y="0"/>
                      <a:ext cx="5486400" cy="312592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7071693, E 598181 i SWEREF 99 TM.</w:t>
      </w:r>
    </w:p>
    <w:p>
      <w:r>
        <w:t>I och inom 23 meter från avverkningsanmälan finns fynd av 15 naturvårdsarter, varav 10 är rödlistade, 5 är fridlysta, 11 är typiska (T) och 3 är signalarter (S): garnlav (VU, T), knärot (VU, T, §8), kolflarnlav (NT, T), lunglav (NT, T), mörk kolflarnlav (NT), talltagel (NT, T), talltita (NT, §4), tretåig hackspett (NT, T, §4), ullticka (NT, T), vitgrynig nållav (NT), norrlandslav (S, T), stuplav (S, T), vedticka (S, T),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0.39 ha med buffertzonerna och får av detta skäl inte avverkas.</w:t>
      </w:r>
    </w:p>
    <w:p>
      <w:pPr>
        <w:pStyle w:val="Caption"/>
      </w:pPr>
      <w:r>
        <w:drawing>
          <wp:inline xmlns:a="http://schemas.openxmlformats.org/drawingml/2006/main" xmlns:pic="http://schemas.openxmlformats.org/drawingml/2006/picture">
            <wp:extent cx="5486400" cy="2988297"/>
            <wp:docPr id="2" name="Picture 2"/>
            <wp:cNvGraphicFramePr>
              <a:graphicFrameLocks noChangeAspect="1"/>
            </wp:cNvGraphicFramePr>
            <a:graphic>
              <a:graphicData uri="http://schemas.openxmlformats.org/drawingml/2006/picture">
                <pic:pic>
                  <pic:nvPicPr>
                    <pic:cNvPr id="0" name="A 27584-2026 karta knärot.png"/>
                    <pic:cNvPicPr/>
                  </pic:nvPicPr>
                  <pic:blipFill>
                    <a:blip r:embed="rId17"/>
                    <a:stretch>
                      <a:fillRect/>
                    </a:stretch>
                  </pic:blipFill>
                  <pic:spPr>
                    <a:xfrm>
                      <a:off x="0" y="0"/>
                      <a:ext cx="5486400" cy="298829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7071693, E 598181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Norrlandslav </w:t>
      </w:r>
      <w:r>
        <w:t xml:space="preserve">indikerar söder om den naturliga norrlandsgränsen barrskogsbeklädda bergbranter eller andra ostörda skogsmiljöer med höga naturvärden. Norrlandslav är typisk art för </w:t>
      </w:r>
      <w:r>
        <w:rPr>
          <w:i/>
        </w:rPr>
        <w:t xml:space="preserve">9010 Taiga, 8110 Silikatrasmarker </w:t>
      </w:r>
      <w:r>
        <w:t>och</w:t>
      </w:r>
      <w:r>
        <w:rPr>
          <w:i/>
        </w:rPr>
        <w:t xml:space="preserve"> 8120 Kalkrasmarker </w:t>
      </w:r>
      <w:r>
        <w:t>(Nitare &amp; Skogsstyrelsen, 2000;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10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2026-09-07</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