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49704-2025 i Sollefteå kommun</w:t>
      </w:r>
    </w:p>
    <w:p>
      <w:r>
        <w:t>Detta dokument behandlar höga naturvärden i avverkningsanmälan A 49704-2025 i Sollefteå kommun. Denna avverkningsanmälan inkom 2025-10-09 00:00:00 och omfattar 1,8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gammelgransskål (NT), garnlav (NT), harticka (NT), järpe (NT, §4), lunglav (NT), tretåig hackspett (NT, §4), bollvitmossa (S), bårdlav (S), lappranunkel (S, §7), luddlav (S), norrlandslav (S) och ögonpyrola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3703"/>
            <wp:docPr id="1" name="Picture 1"/>
            <wp:cNvGraphicFramePr>
              <a:graphicFrameLocks noChangeAspect="1"/>
            </wp:cNvGraphicFramePr>
            <a:graphic>
              <a:graphicData uri="http://schemas.openxmlformats.org/drawingml/2006/picture">
                <pic:pic>
                  <pic:nvPicPr>
                    <pic:cNvPr id="0" name="A 49704-2025 karta.png"/>
                    <pic:cNvPicPr/>
                  </pic:nvPicPr>
                  <pic:blipFill>
                    <a:blip r:embed="rId16"/>
                    <a:stretch>
                      <a:fillRect/>
                    </a:stretch>
                  </pic:blipFill>
                  <pic:spPr>
                    <a:xfrm>
                      <a:off x="0" y="0"/>
                      <a:ext cx="5486400" cy="4403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7057864, E 570800 i SWEREF 99 TM.</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Fridlysta arter</w:t>
      </w:r>
    </w:p>
    <w:p>
      <w:r>
        <w:t>Följande fridlysta arter har sina livsmiljöer och växtplatser i den avverkningsanmälda skogen: järpe (NT, §4), tretåig hackspett (NT, §4) och lappranunkel (S, §7).</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 xml:space="preserve">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pPr>
        <w:pStyle w:val="Heading2"/>
      </w:pPr>
      <w:r>
        <w:t>Referenser – lappranunkel</w:t>
      </w:r>
    </w:p>
    <w:p>
      <w:r>
        <w:t xml:space="preserve">Nitare, J. &amp;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