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28161-2024 i Sollefteå kommun</w:t>
      </w:r>
    </w:p>
    <w:p>
      <w:r>
        <w:t>Denna tillsynsbegäran behandlar höga naturvärden i avverkningsanmälan A 28161-2024 i Sollefteå kommun som inkom 2024-07-03 och omfattar 1,5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28161-2024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7033793, E 596148 i SWEREF 99 TM.</w:t>
      </w:r>
    </w:p>
    <w:p>
      <w:r>
        <w:t>I och inom 16 meter från avverkningsanmälan finns fynd av 18 naturvårdsarter, varav 10 är rödlistade, 4 är fridlysta, 15 är typiska (T) och 6 är signalarter (S): doftticka (VU, T, §8), garnlav (VU, T), kilporing (VU), knärot (VU, T, §8), skorpgrynna (VU), lunglav (NT, T), rosenticka (NT, T), rynkskinn (NT, T), ullticka (NT, T), vedtrappmossa (NT, T), bårdlav (S, T), luddlav (S, T), norrlandslav (S, T), stuplav (S, T), svart trolldruva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6079750"/>
            <wp:docPr id="2" name="Picture 2"/>
            <wp:cNvGraphicFramePr>
              <a:graphicFrameLocks noChangeAspect="1"/>
            </wp:cNvGraphicFramePr>
            <a:graphic>
              <a:graphicData uri="http://schemas.openxmlformats.org/drawingml/2006/picture">
                <pic:pic>
                  <pic:nvPicPr>
                    <pic:cNvPr id="0" name="A 28161-2024 karta knärot.png"/>
                    <pic:cNvPicPr/>
                  </pic:nvPicPr>
                  <pic:blipFill>
                    <a:blip r:embed="rId17"/>
                    <a:stretch>
                      <a:fillRect/>
                    </a:stretch>
                  </pic:blipFill>
                  <pic:spPr>
                    <a:xfrm>
                      <a:off x="0" y="0"/>
                      <a:ext cx="5486400" cy="6079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7033793, E 596148 i SWEREF 99 TM.</w:t>
      </w:r>
    </w:p>
    <w:p>
      <w:r>
        <w:rPr>
          <w:b/>
        </w:rPr>
        <w:t>Skorpgrynna (VU)</w:t>
      </w:r>
      <w:r>
        <w:t xml:space="preserve"> är knuten till granlågor i rikare skogar, ofta äldre bestånd. Den är knuten till miljöer med kontinuitet av gamla träd och död ved, vilka minskar i omfattning, även om minskningstakten är svår att bedöma. Arten är troligen förbisedd men senare års utökade eftersök bekräftar artens specifika ekologiska krav och sällsynthet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lunglav (NT, T), rosenticka (NT, T), rynkskinn (NT, T), ullticka (NT, T), vedtrappmossa (NT, T), bårdlav (S, T), luddlav (S, T), norrlandslav (S, T), stuplav (S, T), svart trolldruva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