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22 naturvårdsarter, varav 19 är rödlistade, 5 är fridlysta, 19 är typiska (T) och 2 är signalarter (S): fläckporing (VU, T), garnlav (VU, T), gränsticka (VU, T), knärot (VU, T, §8), lappticka (VU, T), smalfotad taggsvamp (VU), dropptaggsvamp (NT, T), gammelgransskål (NT, T), kolflarnlav (NT, T), lavskrika (NT, T, §4), motaggsvamp (NT, T), rosenticka (NT, T), rynkskinn (NT, T), tallticka (NT, T), talltita (NT, §4), tretåig hackspett (NT, T, §4), ullticka (NT, T), vaddporing (NT), vedskivlav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lappticka (VU, T), dropptaggsvamp (NT, T), gammelgransskål (NT, T), kolflarnlav (NT, T), lavskrika (NT, T, §4), motaggsvamp (NT, T), rosenticka (NT, T), rynkskinn (NT, T), tallticka (NT, T), tretåig hackspett (NT, T, §4), ullticka (NT, T), vedskivlav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