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40639-2022 i Sollefteå kommun</w:t>
      </w:r>
    </w:p>
    <w:p>
      <w:r>
        <w:t>Denna tillsynsbegäran behandlar höga naturvärden i avverkningsanmälan A 40639-2022 i Sollefteå kommun som inkom 2022-09-20 och omfattar 17,9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0639-2022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7036346, E 611840 i SWEREF 99 TM.</w:t>
      </w:r>
    </w:p>
    <w:p>
      <w:r>
        <w:t>I och inom 24 meter från avverkningsanmälan finns fynd av 33 naturvårdsarter, varav 22 är rödlistade, 8 är fridlysta, 23 är typiska (T) och 8 är signalarter (S): kritporing (CR), garnlav (VU, T), gräddporing (VU, T), gränsticka (VU, T), knärot (VU, T, §8), ulltickeporing (VU), brunpudrad nållav (NT, T), dropptaggsvamp (NT, T), dvärgbägarlav (NT, T), koralltaggsvamp (NT, T), kortskaftad ärgspik (NT), lavskrika (NT, T, §4), lunglav (NT, T), nordtagging (NT), oljetagging (NT), rynkskinn (NT, T), stjärntagging (NT, T), talltita (NT, §4), tretåig hackspett (NT, T, §4), ullticka (NT, T), vedtrappmossa (NT, T), vitgrynig nållav (NT), bårdlav (S, T), gullgröppa (S), gulnål (S, T), norrlandslav (S, T), plattlummer (S, T, §9), skinnlav (S, T), stuplav (S, T), vedticka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32 fyndplatser för knärot registrerade på Artportalen. Figur 2 visar gränserna för buffertzoner på 50 m, som behöver lämnas kring fyndplatserna för att knärotslokalerna inte ska försvinna vid en avverkning. Av det avverkningsanmälda området överlappar 8.89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40639-2022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7036346, E 611840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knärot (VU, T, §8), brunpudrad nållav (NT, T), dropptaggsvamp (NT, T), dvärgbägarlav (NT, T), koralltaggsvamp (NT, T), lavskrika (NT, T, §4), lunglav (NT, T), rynkskinn (NT, T), stjärntagging (NT, T), tretåig hackspett (NT, T, §4), ullticka (NT, T), vedtrappmossa (NT, T), bårdlav (S, T), gulnål (S, T), norrlandslav (S, T), plattlummer (S, T, §9),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