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60260-2025 i Sollefteå kommun</w:t>
      </w:r>
    </w:p>
    <w:p>
      <w:r>
        <w:t>Detta klagomål behandlar höga naturvärden i avverkningsanmälan A 60260-2025 i Sollefteå kommun som inkom 2025-12-03 och omfattar 2,2 ha.</w:t>
      </w:r>
    </w:p>
    <w:p>
      <w:pPr>
        <w:pStyle w:val="Caption"/>
      </w:pPr>
      <w:r>
        <w:drawing>
          <wp:inline xmlns:a="http://schemas.openxmlformats.org/drawingml/2006/main" xmlns:pic="http://schemas.openxmlformats.org/drawingml/2006/picture">
            <wp:extent cx="5486400" cy="3423815"/>
            <wp:docPr id="1" name="Picture 1"/>
            <wp:cNvGraphicFramePr>
              <a:graphicFrameLocks noChangeAspect="1"/>
            </wp:cNvGraphicFramePr>
            <a:graphic>
              <a:graphicData uri="http://schemas.openxmlformats.org/drawingml/2006/picture">
                <pic:pic>
                  <pic:nvPicPr>
                    <pic:cNvPr id="0" name="A 60260-2025 karta.png"/>
                    <pic:cNvPicPr/>
                  </pic:nvPicPr>
                  <pic:blipFill>
                    <a:blip r:embed="rId16"/>
                    <a:stretch>
                      <a:fillRect/>
                    </a:stretch>
                  </pic:blipFill>
                  <pic:spPr>
                    <a:xfrm>
                      <a:off x="0" y="0"/>
                      <a:ext cx="5486400" cy="34238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7037849, E 552553 i SWEREF 99 TM.</w:t>
      </w:r>
    </w:p>
    <w:p>
      <w:r>
        <w:t>I och inom 16 meter från avverkningsanmälan finns fynd av 9 naturvårdsarter, varav 5 är rödlistade, 1 är fridlyst, 6 är typiska (T) och 3 är signalarter (S): garnlav (VU, T), liten aspgelélav (VU, T), sprickporing (VU), gammelgransskål (NT, T), lunglav (NT, T), bronshjon (S, T), gräsull (S), korallblylav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